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All’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Amministrazione procedente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Comune di </w:t>
            </w:r>
            <w:r>
              <w:rPr/>
              <w:fldChar w:fldCharType="begin"/>
            </w:r>
            <w:r>
              <w:rPr/>
              <w:instrText xml:space="preserve"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Richiesta regolarizzazione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[se commissione non di competenza]</w:t>
      </w:r>
    </w:p>
    <w:p>
      <w:pPr>
        <w:pStyle w:val="TextBody"/>
        <w:rPr/>
      </w:pP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>Questo Comando comunica che ha archiviato la co</w:t>
      </w: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>n</w:t>
      </w: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>vocazione in oggetto, in quanto non è prevista specifica competenza in merito.</w:t>
      </w:r>
    </w:p>
    <w:p>
      <w:pPr>
        <w:pStyle w:val="TextBody"/>
        <w:rPr>
          <w:rFonts w:eastAsia="Noto Serif CJK SC" w:cs="Lohit Devanagari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</w:r>
    </w:p>
    <w:p>
      <w:pPr>
        <w:pStyle w:val="TextBody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[se non allegata documentazione o incompleta]</w:t>
      </w:r>
    </w:p>
    <w:p>
      <w:pPr>
        <w:pStyle w:val="TextBody"/>
        <w:rPr/>
      </w:pPr>
      <w:r>
        <w:rPr>
          <w:lang w:val="it-IT"/>
        </w:rPr>
        <w:t>In relazione alla convocazione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in oggetto,</w:t>
      </w:r>
      <w:r>
        <w:rPr>
          <w:lang w:val="it-IT"/>
        </w:rPr>
        <w:t xml:space="preserve"> </w:t>
      </w:r>
      <w:r>
        <w:rPr/>
        <w:t>questo Comando chiede l’</w:t>
      </w:r>
      <w:r>
        <w:rPr>
          <w:b/>
          <w:bCs/>
        </w:rPr>
        <w:t xml:space="preserve">invio di </w:t>
      </w:r>
      <w:r>
        <w:rPr>
          <w:b/>
          <w:bCs/>
          <w:lang w:val="it-IT"/>
        </w:rPr>
        <w:t>documentazione</w:t>
      </w:r>
      <w:r>
        <w:rPr>
          <w:lang w:val="it-IT"/>
        </w:rPr>
        <w:t xml:space="preserve"> che attesti la rispondenza dell’attività alla regola dell’arte, in analogia a quanto previsto dal DM 7 agosto 2012 per i procedimenti di prevenzione incendi.</w:t>
      </w:r>
    </w:p>
    <w:p>
      <w:pPr>
        <w:pStyle w:val="TextBody"/>
        <w:rPr/>
      </w:pPr>
      <w:r>
        <w:rPr>
          <w:lang w:val="it-IT"/>
        </w:rPr>
        <w:t>In particolare, devono essere inviati: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0" w:name="__Fieldmark__2605_4095184655"/>
      <w:bookmarkStart w:id="1" w:name="__Fieldmark__2605_4095184655"/>
      <w:bookmarkEnd w:id="1"/>
      <w:r>
        <w:rPr/>
      </w:r>
      <w:r>
        <w:rPr/>
        <w:fldChar w:fldCharType="end"/>
      </w:r>
      <w:bookmarkStart w:id="2" w:name="__Fieldmark__551_4095184655"/>
      <w:bookmarkStart w:id="3" w:name="__Fieldmark__320_3765483858"/>
      <w:bookmarkStart w:id="4" w:name="__Fieldmark__74_4132683366"/>
      <w:bookmarkStart w:id="5" w:name="__Fieldmark__92_3825571921"/>
      <w:bookmarkStart w:id="6" w:name="__Fieldmark__1666_2296329797"/>
      <w:bookmarkStart w:id="7" w:name="__Fieldmark__3028_2828410077"/>
      <w:bookmarkStart w:id="8" w:name="__Fieldmark__92_2416548785"/>
      <w:bookmarkStart w:id="9" w:name="__Fieldmark__2589_1964799693"/>
      <w:bookmarkStart w:id="10" w:name="__Fieldmark__279_1585666245"/>
      <w:bookmarkStart w:id="11" w:name="__Fieldmark__535_1921254028"/>
      <w:bookmarkStart w:id="12" w:name="__Fieldmark__279_4027006556"/>
      <w:bookmarkStart w:id="13" w:name="__Fieldmark__92_2156278351"/>
      <w:bookmarkStart w:id="14" w:name="__Fieldmark__1067_2099660439"/>
      <w:bookmarkStart w:id="15" w:name="__Fieldmark__3082_4204341107"/>
      <w:bookmarkStart w:id="16" w:name="__Fieldmark__66_2691905827"/>
      <w:bookmarkStart w:id="17" w:name="__Fieldmark__5696_3765483858"/>
      <w:bookmarkStart w:id="18" w:name="__Fieldmark__1987_4095184655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>
        <w:rPr>
          <w:rStyle w:val="DamodificareEG"/>
          <w:lang w:val="it-IT"/>
        </w:rPr>
        <w:t xml:space="preserve"> </w:t>
      </w:r>
      <w:r>
        <w:rPr>
          <w:rStyle w:val="DamodificareEG"/>
          <w:b/>
          <w:bCs/>
          <w:lang w:val="it-IT"/>
        </w:rPr>
        <w:t>relazione tecnica ed elaborati grafici</w:t>
      </w:r>
      <w:r>
        <w:rPr>
          <w:rStyle w:val="DamodificareEG"/>
          <w:lang w:val="it-IT"/>
        </w:rPr>
        <w:t>, che evidenzino l'osservanza dei criteri generali di sicurezza antincendio, tramite l'individuazione dei pericoli di incendio, la valutazione dei rischi connessi e la descrizione delle misure di prevenzione e protezione antincendio da attuare per ridurre i rischi;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9" w:name="__Fieldmark__2663_4095184655"/>
      <w:bookmarkStart w:id="20" w:name="__Fieldmark__2663_4095184655"/>
      <w:bookmarkEnd w:id="20"/>
      <w:r>
        <w:rPr/>
      </w:r>
      <w:r>
        <w:rPr/>
        <w:fldChar w:fldCharType="end"/>
      </w:r>
      <w:bookmarkStart w:id="21" w:name="__Fieldmark__603_4095184655"/>
      <w:bookmarkStart w:id="22" w:name="__Fieldmark__365_3765483858"/>
      <w:bookmarkStart w:id="23" w:name="__Fieldmark__119_4132683366"/>
      <w:bookmarkStart w:id="24" w:name="__Fieldmark__279_15856662451"/>
      <w:bookmarkStart w:id="25" w:name="__Fieldmark__2149_2296329797"/>
      <w:bookmarkStart w:id="26" w:name="__Fieldmark__3028_28284100771"/>
      <w:bookmarkStart w:id="27" w:name="__Fieldmark__92_38255719211"/>
      <w:bookmarkStart w:id="28" w:name="__Fieldmark__92_24165487851"/>
      <w:bookmarkStart w:id="29" w:name="__Fieldmark__2589_19647996931"/>
      <w:bookmarkStart w:id="30" w:name="__Fieldmark__279_40270065561"/>
      <w:bookmarkStart w:id="31" w:name="__Fieldmark__92_21562783511"/>
      <w:bookmarkStart w:id="32" w:name="__Fieldmark__1067_20996604391"/>
      <w:bookmarkStart w:id="33" w:name="__Fieldmark__3082_42043411071"/>
      <w:bookmarkStart w:id="34" w:name="__Fieldmark__535_19212540281"/>
      <w:bookmarkStart w:id="35" w:name="__Fieldmark__108_2691905827"/>
      <w:bookmarkStart w:id="36" w:name="__Fieldmark__5745_3765483858"/>
      <w:bookmarkStart w:id="37" w:name="__Fieldmark__2042_4095184655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r>
        <w:rPr>
          <w:rStyle w:val="DamodificareEG"/>
          <w:lang w:val="it-IT"/>
        </w:rPr>
        <w:t xml:space="preserve"> </w:t>
      </w:r>
      <w:r>
        <w:rPr>
          <w:rStyle w:val="DamodificareEG"/>
          <w:b/>
          <w:bCs/>
          <w:lang w:val="it-IT"/>
        </w:rPr>
        <w:t>certificazioni e dichiarazioni</w:t>
      </w:r>
      <w:r>
        <w:rPr>
          <w:rStyle w:val="DamodificareEG"/>
          <w:lang w:val="it-IT"/>
        </w:rPr>
        <w:t>, atte a comprovare che gli elementi costruttivi, i prodotti, i materiali, le attrezzature, i dispositivi, gli impianti ed i componenti d'impianto, rilevanti ai fini della sicurezza in caso d'incendio, sono stati realizzati, installati o posti in opera secondo la regola dell'arte, in conformità alla vigente normativa in materia di sicurezza antincendio.</w:t>
      </w:r>
    </w:p>
    <w:p>
      <w:pPr>
        <w:pStyle w:val="TextBody"/>
        <w:rPr/>
      </w:pPr>
      <w:r>
        <w:rPr>
          <w:lang w:val="it-IT"/>
        </w:rPr>
        <w:t>La documentazione richiesta deve essere inviata con congruo anticipo rispetto alla convocazione, tale da consentirne l’esame da parte di questo Comando.</w:t>
      </w:r>
    </w:p>
    <w:p>
      <w:pPr>
        <w:pStyle w:val="TextBody"/>
        <w:rPr/>
      </w:pPr>
      <w:r>
        <w:rPr>
          <w:lang w:val="it-IT"/>
        </w:rPr>
        <w:t>In ragione della complessità della progettazione antincendio, questo Comando non può esprimere parere in seno alla commissione in mancanza di quanto sopra.</w:t>
      </w:r>
    </w:p>
    <w:p>
      <w:pPr>
        <w:pStyle w:val="TextBody"/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</w:r>
    </w:p>
    <w:p>
      <w:pPr>
        <w:pStyle w:val="TextBody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[se presenti attività soggette senza precedente parere]</w:t>
      </w:r>
    </w:p>
    <w:p>
      <w:pPr>
        <w:pStyle w:val="Normal"/>
        <w:rPr/>
      </w:pPr>
      <w:r>
        <w:rPr>
          <w:lang w:val="it-IT" w:eastAsia="zh-CN" w:bidi="hi-IN"/>
        </w:rPr>
        <w:t xml:space="preserve">Poiché la convocazione tratta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è necessario che il responsabile dell’attività provveda a presentare </w:t>
      </w:r>
      <w:r>
        <w:rPr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>istanza di valutazione del progetto antincendio</w:t>
      </w: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in tempo utile per consentirne l’esame preventivo.</w:t>
      </w:r>
    </w:p>
    <w:p>
      <w:pPr>
        <w:pStyle w:val="TextBody"/>
        <w:rPr/>
      </w:pPr>
      <w:r>
        <w:rPr>
          <w:lang w:val="it-IT" w:eastAsia="zh-CN" w:bidi="hi-IN"/>
        </w:rPr>
        <w:t>In ragione della complessità della progettazione antincendio, questo Comando non può esprimere parere in seno alla commissione in mancanza di quanto sopra.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CV10_REG.docx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  <w:style w:type="paragraph" w:styleId="Pidipaginaadestra">
    <w:name w:val="Piè di pagina a destra"/>
    <w:basedOn w:val="Footer"/>
    <w:qFormat/>
    <w:pPr>
      <w:suppressLineNumbers/>
      <w:tabs>
        <w:tab w:val="clear" w:pos="709"/>
        <w:tab w:val="center" w:pos="4819" w:leader="none"/>
        <w:tab w:val="right" w:pos="9638" w:leader="none"/>
      </w:tabs>
      <w:jc w:val="righ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537</TotalTime>
  <Application>LibreOffice/7.3.4.2$Linux_X86_64 LibreOffice_project/30$Build-2</Application>
  <AppVersion>15.0000</AppVersion>
  <Pages>2</Pages>
  <Words>338</Words>
  <Characters>2236</Characters>
  <CharactersWithSpaces>2540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2022-08-03T16:46:28Z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