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questo Comando ha riscontrato le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irregolarità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bookmarkStart w:id="4" w:name="Bookmark_Copy_2_Copy_1"/>
      <w:bookmarkStart w:id="5" w:name="Bookmark_Copy_2_Copy_1_Copy_1"/>
      <w:bookmarkStart w:id="6" w:name="Bookmark_Copy_2_Copy_1_Copy_1"/>
      <w:bookmarkStart w:id="7" w:name="Bookmark_Copy_2_Copy_1"/>
      <w:bookmarkStart w:id="8" w:name="Bookmark_Copy_2"/>
      <w:bookmarkEnd w:id="4"/>
      <w:bookmarkEnd w:id="5"/>
      <w:bookmarkEnd w:id="6"/>
      <w:bookmarkEnd w:id="7"/>
      <w:bookmarkEnd w:id="8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non è specificato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" w:name="Bookmark_Copy_3"/>
      <w:bookmarkStart w:id="10" w:name="Bookmark_Copy_3"/>
      <w:bookmarkEnd w:id="10"/>
      <w:r>
        <w:rPr/>
      </w:r>
      <w:r>
        <w:rPr/>
        <w:fldChar w:fldCharType="end"/>
      </w:r>
      <w:bookmarkStart w:id="11" w:name="Bookmark_Copy_3_Copy_1"/>
      <w:bookmarkStart w:id="12" w:name="Bookmark_Copy_3_Copy_1_Copy_1"/>
      <w:bookmarkStart w:id="13" w:name="Bookmark_Copy_3_Copy_1_Copy_1"/>
      <w:bookmarkStart w:id="14" w:name="Bookmark_Copy_3_Copy_1"/>
      <w:bookmarkStart w:id="15" w:name="Bookmark_Copy_3"/>
      <w:bookmarkEnd w:id="11"/>
      <w:bookmarkEnd w:id="12"/>
      <w:bookmarkEnd w:id="13"/>
      <w:bookmarkEnd w:id="14"/>
      <w:bookmarkEnd w:id="15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6" w:name="Bookmark_Copy_5_Copy_1"/>
      <w:bookmarkStart w:id="17" w:name="Bookmark_Copy_5_Copy_1"/>
      <w:bookmarkEnd w:id="1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8" w:name="Bookmark_Copy_5_Copy_1_Copy_1"/>
      <w:bookmarkStart w:id="19" w:name="Bookmark_Copy_5_Copy_1_Copy_1_Copy_1"/>
      <w:bookmarkStart w:id="20" w:name="Bookmark_Copy_5_Copy_1_Copy_1_Copy_1"/>
      <w:bookmarkStart w:id="21" w:name="Bookmark_Copy_5_Copy_1_Copy_1"/>
      <w:bookmarkStart w:id="22" w:name="Bookmark_Copy_5_Copy_1"/>
      <w:bookmarkEnd w:id="18"/>
      <w:bookmarkEnd w:id="19"/>
      <w:bookmarkEnd w:id="20"/>
      <w:bookmarkEnd w:id="21"/>
      <w:bookmarkEnd w:id="22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[se attività soggetta]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delle 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3" w:name="Bookmark_Copy_2_Copy_1_Copy_1"/>
      <w:bookmarkStart w:id="24" w:name="Bookmark_Copy_2_Copy_1_Copy_1"/>
      <w:bookmarkEnd w:id="24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5" w:name="Bookmark_Copy_2_Copy_1_Copy_1_Copy_2"/>
      <w:bookmarkStart w:id="26" w:name="Bookmark_Copy_2_Copy_1_Copy_1_Copy_1_Cop"/>
      <w:bookmarkStart w:id="27" w:name="Bookmark_Copy_2_Copy_1_Copy_1_Copy_1_Cop"/>
      <w:bookmarkStart w:id="28" w:name="Bookmark_Copy_2_Copy_1_Copy_1_Copy_1"/>
      <w:bookmarkStart w:id="29" w:name="Bookmark_Copy_2_Copy_1_Copy_1_Copy_1"/>
      <w:bookmarkEnd w:id="25"/>
      <w:bookmarkEnd w:id="26"/>
      <w:bookmarkEnd w:id="27"/>
      <w:bookmarkEnd w:id="28"/>
      <w:bookmarkEnd w:id="29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BodyText"/>
        <w:rPr/>
      </w:pPr>
      <w:r>
        <w:rPr/>
        <w:t>Si dichiara che la commissione di vigilanza per il pubblico spettacolo</w:t>
      </w:r>
      <w:r>
        <w:rPr>
          <w:rStyle w:val="FootnoteReference"/>
        </w:rPr>
        <w:footnoteReference w:id="2"/>
      </w:r>
      <w:r>
        <w:rPr/>
        <w:t xml:space="preserve">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</w:t>
      </w:r>
      <w:r>
        <w:rPr>
          <w:rStyle w:val="FootnoteReference"/>
        </w:rPr>
        <w:footnoteReference w:id="3"/>
      </w:r>
      <w:r>
        <w:rPr/>
        <w:t xml:space="preserve"> per la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0" w:name="Bookmark_Copy_5"/>
            <w:bookmarkStart w:id="31" w:name="Bookmark_Copy_5"/>
            <w:bookmarkEnd w:id="3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2" w:name="Bookmark_Copy_6"/>
            <w:bookmarkStart w:id="33" w:name="Bookmark_Copy_6"/>
            <w:bookmarkEnd w:id="3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Per l’attività di pubblico spettacolo è richiesta capienza complessiva pari a n°……… occupanti, comunque &gt; 200 occupanti</w:t>
      </w:r>
      <w:r>
        <w:rPr>
          <w:rStyle w:val="FootnoteReference"/>
        </w:rPr>
        <w:footnoteReference w:id="4"/>
      </w:r>
      <w:r>
        <w:rPr/>
        <w:t xml:space="preserve">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4" w:name="Bookmark_Copy_7"/>
            <w:bookmarkStart w:id="35" w:name="Bookmark_Copy_7"/>
            <w:bookmarkEnd w:id="3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  <w:r>
              <w:rPr>
                <w:rStyle w:val="FootnoteReference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6" w:name="Bookmark_Copy_8"/>
            <w:bookmarkStart w:id="37" w:name="Bookmark_Copy_8"/>
            <w:bookmarkEnd w:id="3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  <w:r>
              <w:rPr>
                <w:rStyle w:val="FootnoteReference"/>
              </w:rPr>
              <w:footnoteReference w:id="6"/>
            </w:r>
          </w:p>
        </w:tc>
      </w:tr>
    </w:tbl>
    <w:p>
      <w:pPr>
        <w:pStyle w:val="BodyText"/>
        <w:rPr/>
      </w:pPr>
      <w:r>
        <w:rPr/>
        <w:t>con esclusione di:</w:t>
      </w:r>
    </w:p>
    <w:p>
      <w:pPr>
        <w:pStyle w:val="BodyText"/>
        <w:numPr>
          <w:ilvl w:val="0"/>
          <w:numId w:val="1"/>
        </w:numPr>
        <w:rPr/>
      </w:pPr>
      <w:r>
        <w:rPr/>
        <w:t>spettacoli dal vivo con capienza ≤ 1000 occupanti, che comprendono attività culturali quali il teatro, la musica, la danza e il musical nonché le proiezioni cinematografiche, che si svolgono in un orario compreso tra le ore 8.00 e le ore 1.00 del giorno seguente, tranne casi in cui sussistono vincoli ambientali, paesaggistici o culturali nel luogo in cui si svolge lo spettacolo in oggetto</w:t>
      </w:r>
      <w:r>
        <w:rPr>
          <w:rStyle w:val="FootnoteReference"/>
        </w:rPr>
        <w:footnoteReference w:id="7"/>
      </w:r>
      <w:r>
        <w:rPr/>
        <w:t>;</w:t>
      </w:r>
    </w:p>
    <w:p>
      <w:pPr>
        <w:pStyle w:val="BodyText"/>
        <w:numPr>
          <w:ilvl w:val="0"/>
          <w:numId w:val="1"/>
        </w:numPr>
        <w:rPr/>
      </w:pPr>
      <w:r>
        <w:rPr/>
        <w:t>parchi di divertimento e per attrezzature da divertimento meccaniche o elettromeccaniche che comportano sollecitazioni fisiche degli spettatori o del pubblico partecipante ai giochi superiori ai livelli indicati con decreto del Ministro dell’Interno di concerto con il Ministro della sanità</w:t>
      </w:r>
      <w:r>
        <w:rPr>
          <w:rStyle w:val="FootnoteReference"/>
        </w:rPr>
        <w:footnoteReference w:id="8"/>
      </w:r>
      <w:r>
        <w:rPr/>
        <w:t>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</w:t>
      </w:r>
      <w:r>
        <w:rPr>
          <w:rStyle w:val="FootnoteReference"/>
        </w:rPr>
        <w:footnoteReference w:id="9"/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6"/>
        <w:gridCol w:w="8006"/>
      </w:tblGrid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8" w:name="Bookmark_Copy_9"/>
            <w:bookmarkStart w:id="39" w:name="Bookmark_Copy_9"/>
            <w:bookmarkEnd w:id="39"/>
            <w:r>
              <w:rPr/>
            </w:r>
            <w:r>
              <w:rPr/>
              <w:fldChar w:fldCharType="end"/>
            </w:r>
            <w:bookmarkStart w:id="40" w:name="Bookmark_Copy_9"/>
            <w:bookmarkEnd w:id="40"/>
            <w:r>
              <w:rPr/>
              <w:t xml:space="preserve"> Parere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1" w:name="Bookmark_Copy_10"/>
            <w:bookmarkStart w:id="42" w:name="Bookmark_Copy_10"/>
            <w:bookmarkEnd w:id="42"/>
            <w:r>
              <w:rPr/>
            </w:r>
            <w:r>
              <w:rPr/>
              <w:fldChar w:fldCharType="end"/>
            </w:r>
            <w:bookmarkStart w:id="43" w:name="Bookmark_Copy_10"/>
            <w:bookmarkEnd w:id="43"/>
            <w:r>
              <w:rPr/>
              <w:t xml:space="preserve"> Sopralluogo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4" w:name="Bookmark_Copy_12"/>
            <w:bookmarkStart w:id="45" w:name="Bookmark_Copy_12"/>
            <w:bookmarkEnd w:id="45"/>
            <w:r>
              <w:rPr/>
            </w:r>
            <w:r>
              <w:rPr/>
              <w:fldChar w:fldCharType="end"/>
            </w:r>
            <w:bookmarkStart w:id="46" w:name="Bookmark_Copy_12"/>
            <w:bookmarkEnd w:id="46"/>
            <w:r>
              <w:rPr/>
              <w:t xml:space="preserve"> Codice id.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1636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fldChar w:fldCharType="begin">
                <w:ffData>
                  <w:name w:val="Bookmark Copy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7" w:name="Bookmark_Copy_13"/>
            <w:bookmarkStart w:id="48" w:name="Bookmark_Copy_13"/>
            <w:bookmarkEnd w:id="48"/>
            <w:r>
              <w:rPr/>
            </w:r>
            <w:r>
              <w:rPr/>
              <w:fldChar w:fldCharType="end"/>
            </w:r>
            <w:bookmarkStart w:id="49" w:name="Bookmark_Copy_13"/>
            <w:bookmarkEnd w:id="49"/>
            <w:r>
              <w:rPr/>
              <w:t xml:space="preserve"> Ispezione</w:t>
            </w:r>
          </w:p>
        </w:tc>
        <w:tc>
          <w:tcPr>
            <w:tcW w:w="8006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50" w:name="Bookmark_Copy_14"/>
            <w:bookmarkStart w:id="51" w:name="Bookmark_Copy_14"/>
            <w:bookmarkEnd w:id="5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BodyTex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pageBreakBefore w:val="false"/>
        <w:spacing w:before="0" w:after="140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Come definita dall’art. 80 TULPS (regio decreto 18 giugno 1931 , n. 773) e dagli artt. 141, 141-bis, 142 Reg. TULPS (regio decreto 6 maggio 1940, n. 635).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Ai sensi dell’art. 68 TULPS.</w:t>
      </w:r>
    </w:p>
  </w:footnote>
  <w:footnote w:id="4">
    <w:p>
      <w:pPr>
        <w:pStyle w:val="FootnoteText"/>
        <w:bidi w:val="0"/>
        <w:rPr/>
      </w:pPr>
      <w:r>
        <w:rPr>
          <w:rStyle w:val="FootnoteCharacters"/>
        </w:rPr>
        <w:footnoteRef/>
      </w:r>
      <w:r>
        <w:rPr/>
        <w:tab/>
        <w:t xml:space="preserve">Secondo comma 2, art. 141 Reg. TULPS, per locali ed impianti con capienza complessiva ≤ 200 persone il parere, le verifiche e gli accertamenti della commissione di vigilanza sono sostituiti da relazione tecnica di professionista. Inoltre, secondo artt. 68 e 69 TULPS, per eventi ≤ 200 partecipanti che si svolgono entro le ore 24 del giorno di inizio, la licenza è sostituita </w:t>
      </w:r>
      <w:r>
        <w:rPr/>
        <w:t>da</w:t>
      </w:r>
      <w:r>
        <w:rPr/>
        <w:t xml:space="preserve"> SCIA.</w:t>
      </w:r>
    </w:p>
  </w:footnote>
  <w:footnote w:id="5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6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capienze superiori di competenza della commissione provinciale.</w:t>
      </w:r>
    </w:p>
  </w:footnote>
  <w:footnote w:id="7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Secondo art. 38 bis decreto legge n. 76/2020, fino al 31 dicembre 2023 la licenza è sostituita </w:t>
      </w:r>
      <w:r>
        <w:rPr/>
        <w:t>da</w:t>
      </w:r>
      <w:r>
        <w:rPr/>
        <w:t xml:space="preserve"> SCIA.</w:t>
      </w:r>
    </w:p>
  </w:footnote>
  <w:footnote w:id="8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comma 9, art. 142 Reg. TULPS, di competenza della commissione provinciale.</w:t>
      </w:r>
    </w:p>
  </w:footnote>
  <w:footnote w:id="9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>Secondo art. 141, Reg. TULPS.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894</TotalTime>
  <Application>LibreOffice/7.6.2.1$Linux_X86_64 LibreOffice_project/56f7684011345957bbf33a7ee678afaf4d2ba333</Application>
  <AppVersion>15.0000</AppVersion>
  <Pages>5</Pages>
  <Words>1079</Words>
  <Characters>6512</Characters>
  <CharactersWithSpaces>7517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2023-11-17T08:03:54Z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