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bookmarkStart w:id="2" w:name="Bookmark_Copy_1"/>
      <w:bookmarkStart w:id="3" w:name="Bookmark_Copy_1"/>
      <w:bookmarkEnd w:id="2"/>
      <w:bookmarkEnd w:id="3"/>
      <w:r>
        <w:rPr/>
        <w:t xml:space="preserve"> </w:t>
      </w:r>
      <w:r>
        <w:rPr>
          <w:rStyle w:val="DamodificareEG"/>
        </w:rPr>
        <w:t xml:space="preserve">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2"/>
      <w:bookmarkStart w:id="5" w:name="Bookmark_Copy_2"/>
      <w:bookmarkEnd w:id="5"/>
      <w:r>
        <w:rPr/>
      </w:r>
      <w:r>
        <w:rPr/>
        <w:fldChar w:fldCharType="end"/>
      </w:r>
      <w:bookmarkStart w:id="6" w:name="Bookmark_Copy_2_Copy_1"/>
      <w:bookmarkStart w:id="7" w:name="Bookmark_Copy_2"/>
      <w:bookmarkEnd w:id="6"/>
      <w:bookmarkEnd w:id="7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3"/>
      <w:bookmarkStart w:id="9" w:name="Bookmark_Copy_3"/>
      <w:bookmarkEnd w:id="9"/>
      <w:r>
        <w:rPr/>
      </w:r>
      <w:r>
        <w:rPr/>
        <w:fldChar w:fldCharType="end"/>
      </w:r>
      <w:bookmarkStart w:id="10" w:name="Bookmark_Copy_3_Copy_1"/>
      <w:bookmarkStart w:id="11" w:name="Bookmark_Copy_3"/>
      <w:bookmarkEnd w:id="10"/>
      <w:bookmarkEnd w:id="11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" w:name="Bookmark_Copy_4"/>
      <w:bookmarkStart w:id="13" w:name="Bookmark_Copy_4"/>
      <w:bookmarkEnd w:id="13"/>
      <w:r>
        <w:rPr/>
      </w:r>
      <w:r>
        <w:rPr/>
        <w:fldChar w:fldCharType="end"/>
      </w:r>
      <w:bookmarkStart w:id="14" w:name="Bookmark_Copy_4_Copy_1"/>
      <w:bookmarkStart w:id="15" w:name="Bookmark_Copy_4"/>
      <w:bookmarkEnd w:id="14"/>
      <w:bookmarkEnd w:id="15"/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utile.</w:t>
      </w:r>
    </w:p>
    <w:p>
      <w:pPr>
        <w:pStyle w:val="TextBody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TextBody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</w:t>
      </w:r>
      <w:r>
        <w:rPr/>
        <w:t xml:space="preserve">a seguente </w:t>
      </w:r>
      <w:r>
        <w:rPr>
          <w:i/>
          <w:iCs/>
        </w:rPr>
        <w:t>attività di pubblico spettacolo</w:t>
      </w:r>
      <w:r>
        <w:rPr/>
        <w:t>:</w:t>
      </w:r>
    </w:p>
    <w:p>
      <w:pPr>
        <w:pStyle w:val="TextBody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6" w:name="Bookmark_Copy_5"/>
            <w:bookmarkStart w:id="17" w:name="Bookmark_Copy_5"/>
            <w:bookmarkEnd w:id="1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8" w:name="Bookmark_Copy_6"/>
            <w:bookmarkStart w:id="19" w:name="Bookmark_Copy_6"/>
            <w:bookmarkEnd w:id="1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TextBody"/>
              <w:widowControl w:val="false"/>
              <w:spacing w:before="0" w:after="140"/>
              <w:jc w:val="left"/>
              <w:rPr/>
            </w:pPr>
            <w:r>
              <w:rPr/>
              <w:t>che costituisce ambito delimitato e munito di controllo degli accessi della manifestazione pubblica denominata: …………………………………………………………………………………………….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Per l’attività di pubblico spettacolo è richiesta capienza complessiva pari a n°……… occupanti, comunque &gt; 200 occupanti (art. 141 regio decreto 6 maggio 1940, n. 635),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0" w:name="Bookmark_Copy_7"/>
            <w:bookmarkStart w:id="21" w:name="Bookmark_Copy_7"/>
            <w:bookmarkEnd w:id="2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2" w:name="Bookmark_Copy_8"/>
            <w:bookmarkStart w:id="23" w:name="Bookmark_Copy_8"/>
            <w:bookmarkEnd w:id="2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con esclusione degli spettacoli dal vivo con capienza ≤ 1000 occupanti, che comprendono attività culturali quali il teatro, la musica, la danza e il musical nonché le proiezioni cinematografiche, che si svolgono in un orario compreso tra le ore 8.00 e le ore 1.00 del giorno seguente (art. 38 bis decreto legge n. 76/2020).</w:t>
      </w:r>
    </w:p>
    <w:p>
      <w:pPr>
        <w:pStyle w:val="TextBody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>
                <w:lang w:val="it-IT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4" w:name="Bookmark_Copy_9"/>
            <w:bookmarkStart w:id="25" w:name="Bookmark_Copy_9"/>
            <w:bookmarkEnd w:id="2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6" w:name="Bookmark_Copy_10"/>
            <w:bookmarkStart w:id="27" w:name="Bookmark_Copy_10"/>
            <w:bookmarkEnd w:id="27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8" w:name="Bookmark_Copy_11"/>
            <w:bookmarkStart w:id="29" w:name="Bookmark_Copy_11"/>
            <w:bookmarkEnd w:id="2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0" w:name="Bookmark_Copy_12"/>
            <w:bookmarkStart w:id="31" w:name="Bookmark_Copy_12"/>
            <w:bookmarkEnd w:id="3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2" w:name="Bookmark_Copy_13"/>
            <w:bookmarkStart w:id="33" w:name="Bookmark_Copy_13"/>
            <w:bookmarkEnd w:id="3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4" w:name="Bookmark_Copy_14"/>
            <w:bookmarkStart w:id="35" w:name="Bookmark_Copy_14"/>
            <w:bookmarkEnd w:id="3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TextBody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extBody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TextBody"/>
        <w:pageBreakBefore w:val="false"/>
        <w:spacing w:before="0" w:after="140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675</TotalTime>
  <Application>LibreOffice/7.5.5.2$Linux_X86_64 LibreOffice_project/ca8fe7424262805f223b9a2334bc7181abbcbf5e</Application>
  <AppVersion>15.0000</AppVersion>
  <Pages>4</Pages>
  <Words>867</Words>
  <Characters>5323</Characters>
  <CharactersWithSpaces>6128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2023-08-02T10:43:27Z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