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BodyText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dichi</w:t>
      </w:r>
      <w:r>
        <w:rPr>
          <w:lang w:val="it-IT"/>
        </w:rPr>
        <w:t>a</w:t>
      </w:r>
      <w:r>
        <w:rPr>
          <w:lang w:val="it-IT"/>
        </w:rPr>
        <w:t>rate inefficaci.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LibreOffice/24.2.2.2$Linux_X86_64 LibreOffice_project/d56cc158d8a96260b836f100ef4b4ef25d6f1a01</Application>
  <AppVersion>15.0000</AppVersion>
  <Pages>2</Pages>
  <Words>297</Words>
  <Characters>2177</Characters>
  <CharactersWithSpaces>2429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2024-05-14T12:47:39Z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