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Verifica formale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ha verificato la </w:t>
      </w:r>
      <w:r>
        <w:rPr>
          <w:b/>
          <w:bCs/>
        </w:rPr>
        <w:t>regolarità formale</w:t>
      </w:r>
      <w:r>
        <w:rPr/>
        <w:t xml:space="preserve"> della documentazione ricevuta.</w:t>
      </w:r>
    </w:p>
    <w:p>
      <w:pPr>
        <w:pStyle w:val="Corpodeltesto"/>
        <w:rPr/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>Ai sensi dell’art. 5 del DPR 151/11, il responsabile dell’attività è tenuto a presentare l’attestazione di rinnovo periodico della conformità antincendio entro il: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SC20_VFF.docx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LibreOffice/7.2.3.2$Linux_X86_64 LibreOffice_project/20$Build-2</Application>
  <AppVersion>15.0000</AppVersion>
  <Pages>1</Pages>
  <Words>158</Words>
  <Characters>1266</Characters>
  <CharactersWithSpaces>1394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2021-12-09T11:55:11Z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