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Verifica formale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ha verificato la </w:t>
      </w:r>
      <w:r>
        <w:rPr>
          <w:b/>
          <w:bCs/>
        </w:rPr>
        <w:t>regolarità formale</w:t>
      </w:r>
      <w:r>
        <w:rPr/>
        <w:t xml:space="preserve"> della documentazione ricevuta.</w:t>
      </w:r>
    </w:p>
    <w:p>
      <w:pPr>
        <w:pStyle w:val="Corpodeltesto"/>
        <w:rPr/>
      </w:pPr>
      <w:r>
        <w:rPr>
          <w:lang w:val="it-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p>
      <w:pPr>
        <w:pStyle w:val="Corpodeltesto"/>
        <w:rPr/>
      </w:pPr>
      <w:r>
        <w:rPr>
          <w:lang w:val="it-IT"/>
        </w:rPr>
        <w:t>Ai sensi dell’art. 5 del DPR 151/11, il responsabile dell’attività è tenuto a presentare l’attestazione di rinnovo periodico della conformità antincendio entro il: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7"/>
        <w:gridCol w:w="1700"/>
      </w:tblGrid>
      <w:tr>
        <w:trPr/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SC20_VFF_SUAP.docx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LibreOffice/7.2.3.2$Linux_X86_64 LibreOffice_project/20$Build-2</Application>
  <AppVersion>15.0000</AppVersion>
  <Pages>2</Pages>
  <Words>222</Words>
  <Characters>1679</Characters>
  <CharactersWithSpaces>1867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2021-12-09T11:55:00Z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