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Esito</w:t>
            </w:r>
            <w:r>
              <w:rPr>
                <w:b/>
                <w:bCs/>
              </w:rPr>
              <w:t xml:space="preserve"> del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sopralluogo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 xml:space="preserve">, </w:t>
      </w:r>
      <w:r>
        <w:rPr/>
        <w:t xml:space="preserve">visto l’allegato esito del sopralluogo effettuato </w:t>
      </w:r>
      <w:r>
        <w:rPr>
          <w:lang w:val="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"/>
        </w:rPr>
        <w:t xml:space="preserve">, 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non ha riscontrato inadempienze</w:t>
      </w:r>
      <w:r>
        <w:rPr>
          <w:lang w:val="it"/>
        </w:rPr>
        <w:t>.</w:t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SC71_VVT_SUAP.docx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LibreOffice/7.1.4.2$Linux_X86_64 LibreOffice_project/10$Build-2</Application>
  <AppVersion>15.0000</AppVersion>
  <Pages>2</Pages>
  <Words>212</Words>
  <Characters>1627</Characters>
  <CharactersWithSpaces>1808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2021-06-21T09:58:36Z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