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Divieto di prosecuzione dell’attività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-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-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 tali da presentare potenziale pericolo per la incolumità delle persone o la salvaguardia di beni ed ambiente, per le seguenti motivazioni: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Pertanto questo Comando diffida il responsabile dall’esercizio delle attività soggette sopra individuate e prescrive la rimozione degli eventuali effetti dannosi dalle stesse prodotti, ai sensi dell’art. 4 del DPR 151/2011.</w:t>
      </w:r>
    </w:p>
    <w:p>
      <w:pPr>
        <w:pStyle w:val="Corpodeltesto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seguito di</w:t>
      </w:r>
      <w:r>
        <w:rPr>
          <w:lang w:val="it-IT"/>
        </w:rPr>
        <w:t xml:space="preserve"> ciò, eventuali segnalazioni certificate di inzio attività ai fini antincendio presentate a questo Comando per le suddette attività soggette sono ritenute inefficaci.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Tanto si comunica al Sindaco ed al Prefetto, ai sensi dell’art. 16 del decreto legislativo 139/2006, per gli eventuali provvedimenti di competenza.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SC90_INE_SUAP.docx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LibreOffice/7.2.3.2$Linux_X86_64 LibreOffice_project/20$Build-2</Application>
  <AppVersion>15.0000</AppVersion>
  <Pages>2</Pages>
  <Words>302</Words>
  <Characters>2203</Characters>
  <CharactersWithSpaces>2464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2021-12-09T11:52:59Z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