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InternetLink"/>
              </w:rPr>
              <w:fldChar w:fldCharType="begin"/>
            </w:r>
            <w:r>
              <w:rPr>
                <w:rStyle w:val="InternetLink"/>
              </w:rPr>
              <w:instrText xml:space="preserve"> MERGEFIELD $PEC_CORRISPONDENZA 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&lt;$PEC_CORRISPONDENZA&gt;</w:t>
            </w:r>
            <w:r>
              <w:rPr>
                <w:rStyle w:val="Internet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Questo Comando ha disposto l’archiviazione degli atti in oggetto, in quanto: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>
          <w:lang w:val="it-IT"/>
        </w:rPr>
        <w:t xml:space="preserve"> </w:t>
      </w:r>
      <w:r>
        <w:rPr>
          <w:rStyle w:val="DamodificareEG"/>
        </w:rPr>
        <w:t>[generica] le disposizioni regolamentari non prevedono parere da parte di questo Comando in tali casi;</w:t>
      </w:r>
    </w:p>
    <w:p>
      <w:pPr>
        <w:pStyle w:val="BodyText"/>
        <w:rPr>
          <w:rStyle w:val="DamodificareEG"/>
        </w:rPr>
      </w:pPr>
      <w:r>
        <w:fldChar w:fldCharType="begin">
          <w:ffData>
            <w:name w:val="Copia Bookmark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Copia_Bookmark_3"/>
      <w:bookmarkStart w:id="3" w:name="Copia_Bookmark_3"/>
      <w:bookmarkEnd w:id="3"/>
      <w:r>
        <w:rPr/>
      </w:r>
      <w:r>
        <w:rPr/>
        <w:fldChar w:fldCharType="end"/>
      </w:r>
      <w:bookmarkStart w:id="4" w:name="Copia_Copia_Bookmark_3_1"/>
      <w:bookmarkStart w:id="5" w:name="Copia_Copia_Copia_Bookmark_3_1_1"/>
      <w:bookmarkStart w:id="6" w:name="Copia_Copia_Bookmark_3_1"/>
      <w:bookmarkStart w:id="7" w:name="Copia_Bookmark_3"/>
      <w:bookmarkEnd w:id="4"/>
      <w:bookmarkEnd w:id="5"/>
      <w:bookmarkEnd w:id="6"/>
      <w:bookmarkEnd w:id="7"/>
      <w:r>
        <w:rPr>
          <w:rStyle w:val="DamodificareEG"/>
          <w:lang w:val="it-IT"/>
        </w:rPr>
        <w:t xml:space="preserve"> </w:t>
      </w:r>
      <w:r>
        <w:rPr>
          <w:rStyle w:val="DamodificareEG"/>
        </w:rPr>
        <w:t>[guasto temporaneo in attività] l’individuazione di misure compensative tese a mitigare l’eventuale temporaneo aggravio di rischio incendio resta a carico del responsabile dell’attività;</w:t>
      </w:r>
    </w:p>
    <w:p>
      <w:pPr>
        <w:pStyle w:val="BodyText"/>
        <w:rPr/>
      </w:pPr>
      <w:r>
        <w:fldChar w:fldCharType="begin">
          <w:ffData>
            <w:name w:val="Copia Bookmark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Copia_Bookmark_1"/>
      <w:bookmarkStart w:id="9" w:name="Copia_Bookmark_1"/>
      <w:bookmarkEnd w:id="9"/>
      <w:r>
        <w:rPr/>
      </w:r>
      <w:r>
        <w:rPr/>
        <w:fldChar w:fldCharType="end"/>
      </w:r>
      <w:bookmarkStart w:id="10" w:name="Copia_Copia_Bookmark_1_1"/>
      <w:bookmarkStart w:id="11" w:name="Copia_Copia_Copia_Bookmark_1_1_1"/>
      <w:bookmarkStart w:id="12" w:name="Copia_Copia_Bookmark_1_1"/>
      <w:bookmarkStart w:id="13" w:name="Copia_Bookmark_1"/>
      <w:bookmarkEnd w:id="10"/>
      <w:bookmarkEnd w:id="11"/>
      <w:bookmarkEnd w:id="12"/>
      <w:bookmarkEnd w:id="13"/>
      <w:r>
        <w:rPr>
          <w:rStyle w:val="DamodificareEG"/>
        </w:rPr>
        <w:t xml:space="preserve"> [piccole manifestazioni] la valutazione da parte di questo Comando delle manifestazioni pubbliche è prevista </w:t>
      </w:r>
      <w:r>
        <w:rPr>
          <w:rStyle w:val="DamodificareEG"/>
          <w:i/>
          <w:iCs/>
        </w:rPr>
        <w:t>esclusivamente</w:t>
      </w:r>
      <w:r>
        <w:rPr>
          <w:rStyle w:val="DamodificareEG"/>
        </w:rPr>
        <w:t>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per attività di </w:t>
      </w:r>
      <w:r>
        <w:rPr>
          <w:rStyle w:val="DamodificareEG"/>
          <w:i/>
          <w:iCs/>
        </w:rPr>
        <w:t>pubblico spettacolo o intrattenimento</w:t>
      </w:r>
      <w:r>
        <w:rPr>
          <w:rStyle w:val="DamodificareEG"/>
        </w:rPr>
        <w:t xml:space="preserve"> aventi capienza &gt; 200 occupanti, in seno alla Commissione di vigilanza comunale o provinciale;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per </w:t>
      </w:r>
      <w:r>
        <w:rPr>
          <w:rStyle w:val="DamodificareEG"/>
          <w:i/>
          <w:iCs/>
        </w:rPr>
        <w:t>manifestazioni pubbliche</w:t>
      </w:r>
      <w:r>
        <w:rPr>
          <w:rStyle w:val="DamodificareEG"/>
        </w:rPr>
        <w:t xml:space="preserve"> che presentino </w:t>
      </w:r>
      <w:r>
        <w:rPr>
          <w:rStyle w:val="DamodificareEG"/>
          <w:i/>
          <w:iCs/>
        </w:rPr>
        <w:t>peculiari condizioni di criticità</w:t>
      </w:r>
      <w:r>
        <w:rPr>
          <w:rStyle w:val="DamodificareEG"/>
        </w:rPr>
        <w:t xml:space="preserve"> secondo Circolare Ministero dell’Interno n. 11001/1/110/(10) del 18 luglio 2018, in seno al Comitato ordine e sicurezza pubblica della Prefettura.</w:t>
      </w:r>
    </w:p>
    <w:p>
      <w:pPr>
        <w:pStyle w:val="BodyText"/>
        <w:rPr/>
      </w:pPr>
      <w:r>
        <w:fldChar w:fldCharType="begin">
          <w:ffData>
            <w:name w:val="Copia Bookmark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Copia_Bookmark_2"/>
      <w:bookmarkStart w:id="15" w:name="Copia_Bookmark_2"/>
      <w:bookmarkEnd w:id="15"/>
      <w:r>
        <w:rPr/>
      </w:r>
      <w:r>
        <w:rPr/>
        <w:fldChar w:fldCharType="end"/>
      </w:r>
      <w:bookmarkStart w:id="16" w:name="Copia_Copia_Bookmark_2_1"/>
      <w:bookmarkStart w:id="17" w:name="Copia_Copia_Copia_Bookmark_2_1_1"/>
      <w:bookmarkStart w:id="18" w:name="Copia_Copia_Bookmark_2_1"/>
      <w:bookmarkStart w:id="19" w:name="Copia_Bookmark_2"/>
      <w:bookmarkEnd w:id="16"/>
      <w:bookmarkEnd w:id="17"/>
      <w:bookmarkEnd w:id="18"/>
      <w:bookmarkEnd w:id="19"/>
      <w:r>
        <w:rPr>
          <w:rStyle w:val="DamodificareEG"/>
        </w:rPr>
        <w:t xml:space="preserve"> [modifiche di attività soggette non correttamente formalizzate] la modifica dell’attività non è correttamente comunicata ai sensi del DPR 151/11. Infatti, a seguito di valutazione del rischio da parte del responsabile dell’attività, se la modifica è: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</w:rPr>
        <w:t>rilevante ai fini antincendio e comporta aggravio del rischio: deve essere presentato nuovo progetto (art. 3 DPR 151/11);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</w:rPr>
        <w:t>rilevante ai fini antincendio e non comporta aggravio del rischio: deve essere presentata nuova SCIA (art. 4 DPR 151/11)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</w:rPr>
        <w:t>non rilevante ai fini antincendio (allegato IV DM 7/8/2012): la comunicazione è allegata alla presentazione dell’attestazione di rinnovo periodico di conformità antincendio (art. 5 del DPR 151/11);</w:t>
      </w:r>
    </w:p>
    <w:p>
      <w:pPr>
        <w:pStyle w:val="BodyText"/>
        <w:rPr/>
      </w:pPr>
      <w:r>
        <w:fldChar w:fldCharType="begin">
          <w:ffData>
            <w:name w:val="Copia Copia Bookmark 2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 xml:space="preserve"> FORMCHECKBOX </w:instrText>
      </w:r>
      <w:r>
        <w:rPr>
          <w:rStyle w:val="DamodificareEG"/>
        </w:rPr>
        <w:fldChar w:fldCharType="separate"/>
      </w:r>
      <w:bookmarkStart w:id="20" w:name="Copia_Copia_Bookmark_2_1"/>
      <w:bookmarkStart w:id="21" w:name="Copia_Copia_Bookmark_2_1"/>
      <w:bookmarkEnd w:id="21"/>
      <w:r>
        <w:rPr>
          <w:rStyle w:val="DamodificareEG"/>
        </w:rPr>
      </w:r>
      <w:r>
        <w:rPr>
          <w:rStyle w:val="DamodificareEG"/>
        </w:rPr>
        <w:fldChar w:fldCharType="end"/>
      </w:r>
      <w:bookmarkStart w:id="22" w:name="Copia_Copia_Copia_Bookmark_2_1_1"/>
      <w:bookmarkStart w:id="23" w:name="Copia_Copia_Copia_Copia_Bookmark_2_1_1_1"/>
      <w:bookmarkStart w:id="24" w:name="Copia_Copia_Copia_Bookmark_2_1_2"/>
      <w:bookmarkStart w:id="25" w:name="Copia_Copia_Bookmark_2_2"/>
      <w:bookmarkEnd w:id="22"/>
      <w:bookmarkEnd w:id="23"/>
      <w:bookmarkEnd w:id="24"/>
      <w:bookmarkEnd w:id="25"/>
      <w:r>
        <w:rPr>
          <w:rStyle w:val="DamodificareEG"/>
        </w:rPr>
        <w:t xml:space="preserve"> [</w:t>
      </w:r>
      <w:r>
        <w:rPr>
          <w:rStyle w:val="DamodificareEG"/>
        </w:rPr>
        <w:t>presentato rinnovo senza SCIA vigente</w:t>
      </w:r>
      <w:r>
        <w:rPr>
          <w:rStyle w:val="DamodificareEG"/>
        </w:rPr>
        <w:t xml:space="preserve">] </w:t>
      </w:r>
      <w:r>
        <w:rPr>
          <w:rStyle w:val="DamodificareEG"/>
        </w:rPr>
        <w:t>è stato presentato rinnovo della conformità antincendio per attività priva di SCIA antincendio in corso di validità.</w:t>
      </w:r>
    </w:p>
    <w:p>
      <w:pPr>
        <w:pStyle w:val="BodyText"/>
        <w:rPr/>
      </w:pPr>
      <w:r>
        <w:rPr/>
        <w:t>Ciò non esclude che questo Comando possa comunque condurre controlli ispettivi ai sensi dell’art. 19 del decreto legislativo 139/2006 su quanto segnalato.</w:t>
      </w:r>
    </w:p>
    <w:p>
      <w:pPr>
        <w:pStyle w:val="BodyText"/>
        <w:rPr/>
      </w:pPr>
      <w:r>
        <w:rPr/>
        <w:t>In ogni caso, qualora si ritenga sussista pericolo incombente per l’incolumità delle persone, si invita a richiedere intervento urgente di questo Comando tramite il numero unico di emergenza 1-1-2.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VA60_NDO.docx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LibreOffice/24.2.6.2$Linux_X86_64 LibreOffice_project/420$Build-2</Application>
  <AppVersion>15.0000</AppVersion>
  <Pages>2</Pages>
  <Words>362</Words>
  <Characters>2378</Characters>
  <CharactersWithSpaces>2700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2024-11-11T14:26:46Z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