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/>
            </w:pPr>
            <w:r>
              <w:rPr/>
              <w:t>Questura di Genova</w:t>
            </w:r>
          </w:p>
          <w:p>
            <w:pPr>
              <w:pStyle w:val="Normal"/>
              <w:widowControl w:val="false"/>
              <w:rPr/>
            </w:pPr>
            <w:r>
              <w:rPr/>
              <w:t>Ufficio di Gabinetto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5000" w:type="pct"/>
        <w:jc w:val="lef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 xml:space="preserve">arere per </w:t>
            </w:r>
            <w:r>
              <w:rPr>
                <w:b/>
                <w:bCs/>
              </w:rPr>
              <w:t>effetti scenici</w:t>
            </w:r>
          </w:p>
          <w:p>
            <w:pPr>
              <w:pStyle w:val="Normal"/>
              <w:widowControl w:val="false"/>
              <w:bidi w:val="0"/>
              <w:rPr/>
            </w:pPr>
            <w:r>
              <w:rPr/>
              <w:t>richiesta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riferimento all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a </w:t>
            </w:r>
            <w:r>
              <w:rPr>
                <w:rStyle w:val="DamodificareEG"/>
                <w:rFonts w:eastAsia="Noto Serif CJK SC" w:cs="Lohit Devanagari"/>
                <w:kern w:val="2"/>
                <w:sz w:val="24"/>
                <w:szCs w:val="24"/>
                <w:lang w:val="it-IT" w:eastAsia="zh-CN" w:bidi="hi-IN"/>
              </w:rPr>
              <w:t>manifestazione</w:t>
            </w:r>
            <w:r>
              <w:rPr>
                <w:rStyle w:val="DamodificareEG"/>
                <w:rFonts w:eastAsia="Noto Serif CJK SC" w:cs="Lohit Devanagari"/>
                <w:kern w:val="2"/>
                <w:sz w:val="24"/>
                <w:szCs w:val="24"/>
                <w:lang w:val="it-IT" w:eastAsia="zh-CN" w:bidi="hi-IN"/>
              </w:rPr>
              <w:t xml:space="preserve"> … del … </w:t>
            </w:r>
            <w:r>
              <w:rPr>
                <w:rStyle w:val="DamodificareEG"/>
                <w:rFonts w:eastAsia="Noto Serif CJK SC" w:cs="Lohit Devanagari"/>
                <w:kern w:val="2"/>
                <w:sz w:val="24"/>
                <w:szCs w:val="24"/>
                <w:lang w:val="it-IT" w:eastAsia="zh-CN" w:bidi="hi-IN"/>
              </w:rPr>
              <w:t>presso …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valutata la documentazione inviata ed eventuali successive integrazioni, ai sensi del </w:t>
      </w:r>
      <w:r>
        <w:rPr>
          <w:lang w:val="it-IT"/>
        </w:rPr>
        <w:t xml:space="preserve">punto 5.1 del Titolo V del decreto ministeriale 19 agosto 1996 in merito all’uso nella rappresentazione di fuochi di artificio, di fiamme libere e di spari con armi riportati </w:t>
      </w:r>
      <w:r>
        <w:rPr>
          <w:lang w:val="it-IT"/>
        </w:rPr>
        <w:t>nell’istanza</w:t>
      </w:r>
      <w:r>
        <w:rPr>
          <w:lang w:val="it-IT"/>
        </w:rPr>
        <w:t>, ai soli fini di sicurezza antincendio, questo Comando esprime:</w:t>
      </w:r>
    </w:p>
    <w:p>
      <w:pPr>
        <w:pStyle w:val="BodyText"/>
        <w:rPr/>
      </w:pPr>
      <w:r>
        <w:rPr>
          <w:rStyle w:val="DamodificareEG"/>
          <w:b/>
          <w:bCs/>
          <w:lang w:val="it-IT"/>
        </w:rPr>
        <w:t>parere favorevole</w:t>
      </w:r>
      <w:r>
        <w:rPr>
          <w:rStyle w:val="DamodificareEG"/>
          <w:lang w:val="it-IT"/>
        </w:rPr>
        <w:t xml:space="preserve">, </w:t>
      </w:r>
      <w:r>
        <w:rPr>
          <w:rStyle w:val="DamodificareEG"/>
          <w:lang w:val="it-IT"/>
        </w:rPr>
        <w:t>con le seguenti prescrizioni: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  <w:lang w:val="it-IT"/>
        </w:rPr>
        <w:t>il responsabile di scena deve:</w:t>
      </w:r>
    </w:p>
    <w:p>
      <w:pPr>
        <w:pStyle w:val="BodyText"/>
        <w:numPr>
          <w:ilvl w:val="1"/>
          <w:numId w:val="1"/>
        </w:numPr>
        <w:rPr/>
      </w:pPr>
      <w:r>
        <w:rPr>
          <w:rStyle w:val="DamodificareEG"/>
          <w:lang w:val="it-IT"/>
        </w:rPr>
        <w:t>predisporre sul palco uno o più estintori portatili con capacità estinguente almeno pari a 27A 89B ed una o più coperte antincendio in base a quanto determinato da specifica valutazione del rischio, ad integrazione di quanto già ordinariamente previsto;</w:t>
      </w:r>
    </w:p>
    <w:p>
      <w:pPr>
        <w:pStyle w:val="BodyText"/>
        <w:numPr>
          <w:ilvl w:val="1"/>
          <w:numId w:val="1"/>
        </w:numPr>
        <w:rPr/>
      </w:pPr>
      <w:r>
        <w:rPr>
          <w:rStyle w:val="DamodificareEG"/>
          <w:lang w:val="it-IT"/>
        </w:rPr>
        <w:t xml:space="preserve">comunicare sinteticamente allo scrivente Comando all’indirizzo email </w:t>
      </w:r>
      <w:hyperlink r:id="rId3">
        <w:r>
          <w:rPr>
            <w:rStyle w:val="Hyperlink"/>
            <w:lang w:val="it-IT"/>
          </w:rPr>
          <w:t>vigilanza.genova@vigilfuoco.it</w:t>
        </w:r>
      </w:hyperlink>
      <w:r>
        <w:rPr>
          <w:rStyle w:val="DamodificareEG"/>
          <w:lang w:val="it-IT"/>
        </w:rPr>
        <w:t xml:space="preserve"> quanto segue: nome spettacolo, date, tipologia dell’effetto speciale tra quelli riportati in oggetto;</w:t>
      </w:r>
    </w:p>
    <w:p>
      <w:pPr>
        <w:pStyle w:val="BodyText"/>
        <w:numPr>
          <w:ilvl w:val="1"/>
          <w:numId w:val="1"/>
        </w:numPr>
        <w:rPr/>
      </w:pPr>
      <w:r>
        <w:rPr>
          <w:rStyle w:val="DamodificareEG"/>
          <w:lang w:val="it-IT"/>
        </w:rPr>
        <w:t>prima dell’inizio dello spettacolo informare dettagliatamente di quanto sopra il responsabile dell’attuazione del piano di emergenza ed il responsabile della squadra dei vigili del fuoco in servizio di vigilanza;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  <w:lang w:val="it-IT"/>
        </w:rPr>
        <w:t>gli effetti scenici devono essere impiegati in conformità a quanto previsto dal libretto di uso e manutenzione e dalla scheda di sicurezza, esclusivamente da personale adeguatamente formato.</w:t>
      </w:r>
    </w:p>
    <w:p>
      <w:pPr>
        <w:pStyle w:val="BodyText"/>
        <w:rPr/>
      </w:pPr>
      <w:r>
        <w:rPr>
          <w:rStyle w:val="DamodificareEG"/>
          <w:b/>
          <w:bCs/>
          <w:lang w:val="it-IT"/>
        </w:rPr>
        <w:t>parere contrario</w:t>
      </w:r>
      <w:r>
        <w:rPr>
          <w:rStyle w:val="DamodificareEG"/>
          <w:lang w:val="it-IT"/>
        </w:rPr>
        <w:t>, in quanto:</w:t>
      </w:r>
    </w:p>
    <w:p>
      <w:pPr>
        <w:pStyle w:val="BodyText"/>
        <w:numPr>
          <w:ilvl w:val="0"/>
          <w:numId w:val="2"/>
        </w:numPr>
        <w:rPr/>
      </w:pPr>
      <w:r>
        <w:rPr>
          <w:rStyle w:val="DamodificareEG"/>
          <w:lang w:val="it-IT"/>
        </w:rPr>
        <w:t>la documentazione inviata non consente di esprimere il parere richiesto;</w:t>
      </w:r>
    </w:p>
    <w:p>
      <w:pPr>
        <w:pStyle w:val="BodyText"/>
        <w:numPr>
          <w:ilvl w:val="0"/>
          <w:numId w:val="2"/>
        </w:numPr>
        <w:rPr/>
      </w:pPr>
      <w:r>
        <w:rPr>
          <w:rStyle w:val="DamodificareEG"/>
          <w:lang w:val="it-IT"/>
        </w:rPr>
        <w:t>…</w:t>
      </w:r>
    </w:p>
    <w:p>
      <w:pPr>
        <w:pStyle w:val="BodyText"/>
        <w:rPr/>
      </w:pPr>
      <w:r>
        <w:rPr>
          <w:lang w:val="it-IT"/>
        </w:rPr>
        <w:t>Si rammenta inoltre che</w:t>
      </w:r>
      <w:r>
        <w:rPr>
          <w:lang w:val="it-IT"/>
        </w:rPr>
        <w:t xml:space="preserve"> il </w:t>
      </w:r>
      <w:r>
        <w:rPr>
          <w:lang w:val="it-IT"/>
        </w:rPr>
        <w:t>decreto legislativo</w:t>
      </w:r>
      <w:r>
        <w:rPr>
          <w:lang w:val="it-IT"/>
        </w:rPr>
        <w:t xml:space="preserve"> n. 58 </w:t>
      </w:r>
      <w:r>
        <w:rPr>
          <w:lang w:val="it-IT"/>
        </w:rPr>
        <w:t xml:space="preserve">del </w:t>
      </w:r>
      <w:r>
        <w:rPr>
          <w:lang w:val="it-IT"/>
        </w:rPr>
        <w:t>4.</w:t>
      </w:r>
      <w:r>
        <w:rPr>
          <w:lang w:val="it-IT"/>
        </w:rPr>
        <w:t>04.</w:t>
      </w:r>
      <w:r>
        <w:rPr>
          <w:lang w:val="it-IT"/>
        </w:rPr>
        <w:t xml:space="preserve">2010 inserisce </w:t>
      </w:r>
      <w:r>
        <w:rPr>
          <w:lang w:val="it-IT"/>
        </w:rPr>
        <w:t xml:space="preserve">tra gli </w:t>
      </w:r>
      <w:r>
        <w:rPr>
          <w:i/>
          <w:iCs/>
          <w:lang w:val="it-IT"/>
        </w:rPr>
        <w:t>articoli pirotecnici</w:t>
      </w:r>
      <w:r>
        <w:rPr>
          <w:lang w:val="it-IT"/>
        </w:rPr>
        <w:t xml:space="preserve"> anche la specifica categoria </w:t>
      </w:r>
      <w:r>
        <w:rPr>
          <w:lang w:val="it-IT"/>
        </w:rPr>
        <w:t xml:space="preserve">degli </w:t>
      </w:r>
      <w:r>
        <w:rPr>
          <w:i/>
          <w:iCs/>
          <w:lang w:val="it-IT"/>
        </w:rPr>
        <w:t>articolo pirotecnici per uso teatrale</w:t>
      </w:r>
      <w:r>
        <w:rPr>
          <w:lang w:val="it-IT"/>
        </w:rPr>
        <w:t xml:space="preserve">. </w:t>
      </w:r>
      <w:r>
        <w:rPr>
          <w:lang w:val="it-IT"/>
        </w:rPr>
        <w:t>Pertanto l’eventuale impiego di</w:t>
      </w:r>
      <w:r>
        <w:rPr>
          <w:lang w:val="it-IT"/>
        </w:rPr>
        <w:t xml:space="preserve"> tali prodotti pirici </w:t>
      </w:r>
      <w:r>
        <w:rPr>
          <w:lang w:val="it-IT"/>
        </w:rPr>
        <w:t xml:space="preserve">deve </w:t>
      </w:r>
      <w:r>
        <w:rPr>
          <w:lang w:val="it-IT"/>
        </w:rPr>
        <w:t xml:space="preserve">essere </w:t>
      </w:r>
      <w:r>
        <w:rPr>
          <w:lang w:val="it-IT"/>
        </w:rPr>
        <w:t xml:space="preserve">preventivamente </w:t>
      </w:r>
      <w:r>
        <w:rPr>
          <w:lang w:val="it-IT"/>
        </w:rPr>
        <w:t xml:space="preserve">autorizzato dalla competente Autorità locale di </w:t>
      </w:r>
      <w:r>
        <w:rPr>
          <w:lang w:val="it-IT"/>
        </w:rPr>
        <w:t>pubblica sicurezza</w:t>
      </w:r>
      <w:r>
        <w:rPr>
          <w:lang w:val="it-IT"/>
        </w:rPr>
        <w:t>.</w:t>
      </w:r>
    </w:p>
    <w:tbl>
      <w:tblPr>
        <w:tblW w:w="5000" w:type="pct"/>
        <w:jc w:val="lef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VA99_effetti scenici.docx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VA99_effetti scenici.docx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vigilanza.genova@vigilfuoco.it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LibreOffice/24.2.2.2$Linux_X86_64 LibreOffice_project/d56cc158d8a96260b836f100ef4b4ef25d6f1a01</Application>
  <AppVersion>15.0000</AppVersion>
  <Pages>2</Pages>
  <Words>320</Words>
  <Characters>2018</Characters>
  <CharactersWithSpaces>2300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cp:lastPrinted>2024-04-16T09:15:09Z</cp:lastPrinted>
  <dcterms:modified xsi:type="dcterms:W3CDTF">2024-04-26T13:28:47Z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