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VO70_FAV_SUAP.docx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LibreOffice/7.1.4.2$Linux_X86_64 LibreOffice_project/10$Build-2</Application>
  <AppVersion>15.0000</AppVersion>
  <Pages>2</Pages>
  <Words>203</Words>
  <Characters>1526</Characters>
  <CharactersWithSpaces>1699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2021-06-16T06:34:08Z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