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valutata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 ed eventual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 successive</w:t>
      </w:r>
      <w:r>
        <w:rPr>
          <w:lang w:val="it-IT"/>
        </w:rPr>
        <w:t xml:space="preserve"> integrazioni (prot. </w:t>
      </w:r>
      <w:r>
        <w:rPr>
          <w:lang w:val="it-IT"/>
        </w:rPr>
        <w:fldChar w:fldCharType="begin"/>
      </w:r>
      <w:r>
        <w:rPr>
          <w:lang w:val="it-IT"/>
        </w:rPr>
        <w:instrText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ha rilevato i seguenti </w:t>
      </w:r>
      <w:r>
        <w:rPr>
          <w:b/>
          <w:bCs/>
          <w:lang w:val="it-IT"/>
        </w:rPr>
        <w:t>motivi ostativi</w:t>
      </w:r>
      <w:r>
        <w:rPr>
          <w:lang w:val="it-IT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-IT"/>
        </w:rPr>
        <w:t>Il termine previsto dall’art. 3 del DPR 151/11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VP80_PRE.docx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LibreOffice/7.2.5.2.0$Linux_X86_64 LibreOffice_project/20$Build-2</Application>
  <AppVersion>15.0000</AppVersion>
  <Pages>2</Pages>
  <Words>180</Words>
  <Characters>1441</Characters>
  <CharactersWithSpaces>1591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2022-01-20T16:07:27Z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