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caps/>
          <w:color w:val="888888"/>
          <w:sz w:val="20"/>
          <w:szCs w:val="20"/>
        </w:rPr>
        <w:t xml:space="preserve">TECHNOVERSE HACKATHON 2026</w:t>
      </w:r>
    </w:p>
    <w:p>
      <w:pPr>
        <w:spacing w:after="80" w:before="0"/>
        <w:jc w:val="center"/>
      </w:pPr>
      <w:r>
        <w:rPr>
          <w:rFonts w:ascii="Arial" w:cs="Arial" w:eastAsia="Arial" w:hAnsi="Arial"/>
          <w:color w:val="888888"/>
          <w:sz w:val="20"/>
          <w:szCs w:val="20"/>
        </w:rPr>
        <w:t xml:space="preserve">Problem Statement Deep Dive</w:t>
      </w:r>
    </w:p>
    <w:p>
      <w:pPr>
        <w:spacing w:after="200" w:before="0"/>
      </w:pPr>
      <w:r>
        <w:t xml:space="preserve"/>
      </w:r>
    </w:p>
    <w:p>
      <w:pPr>
        <w:spacing w:after="80" w:before="0"/>
        <w:jc w:val="center"/>
      </w:pPr>
      <w:r>
        <w:rPr>
          <w:rFonts w:ascii="Arial" w:cs="Arial" w:eastAsia="Arial" w:hAnsi="Arial"/>
          <w:b/>
          <w:bCs/>
          <w:color w:val="1F4E79"/>
          <w:sz w:val="56"/>
          <w:szCs w:val="56"/>
        </w:rPr>
        <w:t xml:space="preserve">Federated Causal Pharmacovigilance</w:t>
      </w:r>
    </w:p>
    <w:p>
      <w:pPr>
        <w:spacing w:after="60" w:before="0"/>
        <w:jc w:val="center"/>
      </w:pPr>
      <w:r>
        <w:rPr>
          <w:rFonts w:ascii="Arial" w:cs="Arial" w:eastAsia="Arial" w:hAnsi="Arial"/>
          <w:color w:val="2E75B6"/>
          <w:sz w:val="32"/>
          <w:szCs w:val="32"/>
        </w:rPr>
        <w:t xml:space="preserve">An AI-Powered Drug Safety Signal Detection System</w:t>
      </w:r>
    </w:p>
    <w:p>
      <w:pPr>
        <w:spacing w:after="200" w:before="0"/>
      </w:pPr>
      <w:r>
        <w:t xml:space="preserve"/>
      </w:r>
    </w:p>
    <w:p>
      <w:pPr>
        <w:pBdr>
          <w:bottom w:val="single" w:color="2E75B6" w:sz="4" w:space="1"/>
        </w:pBdr>
        <w:spacing w:after="400" w:before="0"/>
        <w:jc w:val="center"/>
      </w:pPr>
      <w:r>
        <w:rPr>
          <w:rFonts w:ascii="Arial" w:cs="Arial" w:eastAsia="Arial" w:hAnsi="Arial"/>
          <w:color w:val="555555"/>
          <w:sz w:val="22"/>
          <w:szCs w:val="22"/>
        </w:rPr>
        <w:t xml:space="preserve">Life Sciences — Cognizant Technoverse Hackathon 2026</w:t>
      </w:r>
    </w:p>
    <w:p>
      <w:pPr>
        <w:spacing w:after="400" w:before="0"/>
      </w:pPr>
      <w:r>
        <w:t xml:space="preserve"/>
      </w:r>
    </w:p>
    <w:p>
      <w:pPr>
        <w:spacing w:after="60" w:before="0"/>
        <w:jc w:val="center"/>
      </w:pPr>
      <w:r>
        <w:rPr>
          <w:rFonts w:ascii="Arial" w:cs="Arial" w:eastAsia="Arial" w:hAnsi="Arial"/>
          <w:color w:val="999999"/>
          <w:sz w:val="20"/>
          <w:szCs w:val="20"/>
        </w:rPr>
        <w:t xml:space="preserve">Document Classification: Technical Reference</w:t>
      </w:r>
    </w:p>
    <w:p>
      <w:pPr>
        <w:jc w:val="center"/>
      </w:pPr>
      <w:r>
        <w:rPr>
          <w:rFonts w:ascii="Arial" w:cs="Arial" w:eastAsia="Arial" w:hAnsi="Arial"/>
          <w:color w:val="999999"/>
          <w:sz w:val="20"/>
          <w:szCs w:val="20"/>
        </w:rPr>
        <w:t xml:space="preserve">Prepared by: Abhishek M G  |  GitHub: Abhishek-M-29  |  April 2026</w:t>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1. What Is Pharmacovigilance?</w:t>
      </w:r>
    </w:p>
    <w:p>
      <w:pPr>
        <w:spacing w:after="120" w:before="80" w:line="280"/>
      </w:pPr>
      <w:r>
        <w:rPr>
          <w:rFonts w:ascii="Arial" w:cs="Arial" w:eastAsia="Arial" w:hAnsi="Arial"/>
          <w:color w:val="1A1A1A"/>
          <w:sz w:val="22"/>
          <w:szCs w:val="22"/>
        </w:rPr>
        <w:t xml:space="preserve">Pharmacovigilance (PV) is the science and set of activities related to the detection, assessment, understanding, and prevention of adverse drug reactions (ADRs) — harmful effects that a drug causes in real patients after it has been approved and released to market.</w:t>
      </w:r>
    </w:p>
    <w:p>
      <w:pPr>
        <w:spacing w:after="80" w:before="0"/>
      </w:pPr>
      <w:r>
        <w:t xml:space="preserve"/>
      </w:r>
    </w:p>
    <w:p>
      <w:pPr>
        <w:spacing w:after="120" w:before="80" w:line="280"/>
      </w:pPr>
      <w:r>
        <w:rPr>
          <w:rFonts w:ascii="Arial" w:cs="Arial" w:eastAsia="Arial" w:hAnsi="Arial"/>
          <w:color w:val="1A1A1A"/>
          <w:sz w:val="22"/>
          <w:szCs w:val="22"/>
        </w:rPr>
        <w:t xml:space="preserve">When a pharmaceutical company submits a drug for regulatory approval, clinical trials test it on a few thousand patients under highly controlled conditions. The population is usually homogeneous — specific age range, no serious comorbidities, tightly controlled dosing. The real world looks nothing like this. Millions of patients across all ages, ethnicities, body weights, with diabetes, hypertension, kidney disease, and already taking five other drugs simultaneously — this population experiences side effects that clinical trials completely miss.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12"/>
              <w:left w:val="single" w:color="1F4E79" w:sz="18"/>
              <w:bottom w:val="nil"/>
              <w:right w:val="nil"/>
            </w:tcBorders>
            <w:shd w:fill="FDE9D9" w:val="clear"/>
            <w:tcMar>
              <w:top w:type="dxa" w:w="120"/>
              <w:left w:type="dxa" w:w="200"/>
              <w:bottom w:type="dxa" w:w="120"/>
              <w:right w:type="dxa" w:w="120"/>
            </w:tcMar>
          </w:tcPr>
          <w:p>
            <w:pPr>
              <w:spacing w:after="60" w:before="0"/>
            </w:pPr>
            <w:r>
              <w:rPr>
                <w:rFonts w:ascii="Arial" w:cs="Arial" w:eastAsia="Arial" w:hAnsi="Arial"/>
                <w:b/>
                <w:bCs/>
                <w:color w:val="7F3F00"/>
                <w:sz w:val="22"/>
                <w:szCs w:val="22"/>
              </w:rPr>
              <w:t xml:space="preserve">Scale of the Problem</w:t>
            </w:r>
          </w:p>
          <w:p>
            <w:pPr>
              <w:spacing w:after="0" w:before="0"/>
            </w:pPr>
            <w:r>
              <w:rPr>
                <w:rFonts w:ascii="Arial" w:cs="Arial" w:eastAsia="Arial" w:hAnsi="Arial"/>
                <w:color w:val="1A1A1A"/>
                <w:sz w:val="22"/>
                <w:szCs w:val="22"/>
              </w:rPr>
              <w:t xml:space="preserve">The annual cost of drug-related morbidity and mortality in the United States alone was estimated at $170 billion. Over 1.9 million emergency room visits in the US per year are directly related to adverse drug reactions. Traditional pharmacovigilance systems have a median underreporting rate of 94% — meaning for every 100 real adverse drug events occurring in hospitals and homes, only 6 are ever formally reported to any regulatory system.</w:t>
            </w:r>
          </w:p>
        </w:tc>
      </w:tr>
    </w:tbl>
    <w:p>
      <w:pPr>
        <w:spacing w:after="120" w:before="0"/>
      </w:pPr>
      <w:r>
        <w:t xml:space="preserve"/>
      </w:r>
    </w:p>
    <w:p>
      <w:pPr>
        <w:spacing w:after="120" w:before="80" w:line="280"/>
      </w:pPr>
      <w:r>
        <w:rPr>
          <w:rFonts w:ascii="Arial" w:cs="Arial" w:eastAsia="Arial" w:hAnsi="Arial"/>
          <w:color w:val="1A1A1A"/>
          <w:sz w:val="22"/>
          <w:szCs w:val="22"/>
        </w:rPr>
        <w:t xml:space="preserve">The core mandate of pharmacovigilance is to close this gap — to detect safety signals in the real world, validate whether a drug truly caused the harm (not just co-occurred with it), and communicate findings to regulators and prescribers. The challenge is one of data scale, data quality, causal complexity, and privacy all converging simultaneously.</w:t>
      </w:r>
    </w:p>
    <w:p>
      <w:pPr>
        <w:spacing w:after="120" w:before="0"/>
      </w:pPr>
      <w:r>
        <w:t xml:space="preserve"/>
      </w:r>
    </w:p>
    <w:p>
      <w:pPr>
        <w:pStyle w:val="Heading2"/>
        <w:spacing w:after="140" w:before="280"/>
      </w:pPr>
      <w:r>
        <w:rPr>
          <w:rFonts w:ascii="Arial" w:cs="Arial" w:eastAsia="Arial" w:hAnsi="Arial"/>
          <w:b/>
          <w:bCs/>
          <w:color w:val="2E75B6"/>
          <w:sz w:val="28"/>
          <w:szCs w:val="28"/>
        </w:rPr>
        <w:t xml:space="preserve">1.1  The Central Data Source: FAERS</w:t>
      </w:r>
    </w:p>
    <w:p>
      <w:pPr>
        <w:spacing w:after="120" w:before="80" w:line="280"/>
      </w:pPr>
      <w:r>
        <w:rPr>
          <w:rFonts w:ascii="Arial" w:cs="Arial" w:eastAsia="Arial" w:hAnsi="Arial"/>
          <w:color w:val="1A1A1A"/>
          <w:sz w:val="22"/>
          <w:szCs w:val="22"/>
        </w:rPr>
        <w:t xml:space="preserve">The FDA Adverse Event Reporting System (FAERS) is the world's largest publicly accessible pharmacovigilance database. It contains voluntary spontaneous reports submitted by healthcare professionals, pharmaceutical companies, and patients reporting suspected adverse events or medication errors.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records (as of Q2 2025)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57,212,790 adverse event records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Reporting period covered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Q1 2004 to Q2 2025 (86 quarterly datasets)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tables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DRUG, REAC, OUTC, RPSR, THER, INDI (7 tables per quarter)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Access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Fully public — downloadable from openFDA.gov at no cost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Drug coding standard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RxNorm (curated in AEOLUS pre-processed dataset)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Adverse event coding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MedDRA (Medical Dictionary for Regulatory Activities)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Supplementary sources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 VigiBase, EMA EudraVigilance, DrugBank, SIDER, PubMed</w:t>
            </w:r>
          </w:p>
        </w:tc>
      </w:tr>
    </w:tbl>
    <w:p>
      <w:pPr>
        <w:spacing w:after="120" w:before="0"/>
      </w:pPr>
      <w:r>
        <w:t xml:space="preserve"/>
      </w:r>
    </w:p>
    <w:p>
      <w:pPr>
        <w:spacing w:after="120" w:before="80" w:line="280"/>
      </w:pPr>
      <w:r>
        <w:rPr>
          <w:rFonts w:ascii="Arial" w:cs="Arial" w:eastAsia="Arial" w:hAnsi="Arial"/>
          <w:color w:val="1A1A1A"/>
          <w:sz w:val="22"/>
          <w:szCs w:val="22"/>
        </w:rPr>
        <w:t xml:space="preserve">Despite its scale, FAERS has severe known limitations: voluntary reporting means massive underreporting, duplicate case entries, missing demographic fields, and — most critically — an absence of a proper control group. You know who reported an adverse event after taking a drug; you do not know who took the drug and had no event. This is the fundamental reason traditional signal detection methods fail.</w:t>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2. Why Causal ML — Not Just Correlation?</w:t>
      </w:r>
    </w:p>
    <w:p>
      <w:pPr>
        <w:spacing w:after="120" w:before="80" w:line="280"/>
      </w:pPr>
      <w:r>
        <w:rPr>
          <w:rFonts w:ascii="Arial" w:cs="Arial" w:eastAsia="Arial" w:hAnsi="Arial"/>
          <w:color w:val="1A1A1A"/>
          <w:sz w:val="22"/>
          <w:szCs w:val="22"/>
        </w:rPr>
        <w:t xml:space="preserve">This is the most important conceptual question to understand clearly before building anything. The entire value proposition of this solution hinges on the difference between correlation and causation in the context of drug safety.</w:t>
      </w:r>
    </w:p>
    <w:p>
      <w:pPr>
        <w:spacing w:after="100" w:before="0"/>
      </w:pPr>
      <w:r>
        <w:t xml:space="preserve"/>
      </w:r>
    </w:p>
    <w:p>
      <w:pPr>
        <w:pStyle w:val="Heading2"/>
        <w:spacing w:after="140" w:before="280"/>
      </w:pPr>
      <w:r>
        <w:rPr>
          <w:rFonts w:ascii="Arial" w:cs="Arial" w:eastAsia="Arial" w:hAnsi="Arial"/>
          <w:b/>
          <w:bCs/>
          <w:color w:val="2E75B6"/>
          <w:sz w:val="28"/>
          <w:szCs w:val="28"/>
        </w:rPr>
        <w:t xml:space="preserve">2.1  What Traditional Methods Do — Disproportionality Analysis</w:t>
      </w:r>
    </w:p>
    <w:p>
      <w:pPr>
        <w:spacing w:after="120" w:before="80" w:line="280"/>
      </w:pPr>
      <w:r>
        <w:rPr>
          <w:rFonts w:ascii="Arial" w:cs="Arial" w:eastAsia="Arial" w:hAnsi="Arial"/>
          <w:color w:val="1A1A1A"/>
          <w:sz w:val="22"/>
          <w:szCs w:val="22"/>
        </w:rPr>
        <w:t xml:space="preserve">Every existing pharmacovigilance system — from regulatory agencies to pharma companies to academic researchers — runs on Disproportionality Analysis (DA). The four most used metrics are:</w:t>
      </w:r>
    </w:p>
    <w:p>
      <w:pPr>
        <w:spacing w:after="6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Reporting Odds Ratio (ROR)</w:t>
      </w:r>
    </w:p>
    <w:p>
      <w:pPr>
        <w:pStyle w:val="ListParagraph"/>
        <w:numPr>
          <w:ilvl w:val="0"/>
          <w:numId w:val="2"/>
        </w:numPr>
        <w:spacing w:after="60" w:before="60"/>
      </w:pPr>
      <w:r>
        <w:rPr>
          <w:rFonts w:ascii="Arial" w:cs="Arial" w:eastAsia="Arial" w:hAnsi="Arial"/>
          <w:color w:val="1A1A1A"/>
          <w:sz w:val="22"/>
          <w:szCs w:val="22"/>
        </w:rPr>
        <w:t xml:space="preserve">Proportional Reporting Ratio (PRR)</w:t>
      </w:r>
    </w:p>
    <w:p>
      <w:pPr>
        <w:pStyle w:val="ListParagraph"/>
        <w:numPr>
          <w:ilvl w:val="0"/>
          <w:numId w:val="2"/>
        </w:numPr>
        <w:spacing w:after="60" w:before="60"/>
      </w:pPr>
      <w:r>
        <w:rPr>
          <w:rFonts w:ascii="Arial" w:cs="Arial" w:eastAsia="Arial" w:hAnsi="Arial"/>
          <w:color w:val="1A1A1A"/>
          <w:sz w:val="22"/>
          <w:szCs w:val="22"/>
        </w:rPr>
        <w:t xml:space="preserve">Bayesian Confidence Propagation Neural Network (BCPNN)</w:t>
      </w:r>
    </w:p>
    <w:p>
      <w:pPr>
        <w:pStyle w:val="ListParagraph"/>
        <w:numPr>
          <w:ilvl w:val="0"/>
          <w:numId w:val="2"/>
        </w:numPr>
        <w:spacing w:after="60" w:before="60"/>
      </w:pPr>
      <w:r>
        <w:rPr>
          <w:rFonts w:ascii="Arial" w:cs="Arial" w:eastAsia="Arial" w:hAnsi="Arial"/>
          <w:color w:val="1A1A1A"/>
          <w:sz w:val="22"/>
          <w:szCs w:val="22"/>
        </w:rPr>
        <w:t xml:space="preserve">Empirical Bayes Geometric Mean (EBGM)</w:t>
      </w:r>
    </w:p>
    <w:p>
      <w:pPr>
        <w:spacing w:after="100" w:before="0"/>
      </w:pPr>
      <w:r>
        <w:t xml:space="preserve"/>
      </w:r>
    </w:p>
    <w:p>
      <w:pPr>
        <w:spacing w:after="120" w:before="80" w:line="280"/>
      </w:pPr>
      <w:r>
        <w:rPr>
          <w:rFonts w:ascii="Arial" w:cs="Arial" w:eastAsia="Arial" w:hAnsi="Arial"/>
          <w:color w:val="1A1A1A"/>
          <w:sz w:val="22"/>
          <w:szCs w:val="22"/>
        </w:rPr>
        <w:t xml:space="preserve">All four answer the same question: Is Drug X reported alongside Adverse Event Y more frequently than would be expected by chance, given how often Drug X appears in all reports and how often Event Y appears across all drugs?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12"/>
              <w:left w:val="single" w:color="1F4E79" w:sz="18"/>
              <w:bottom w:val="nil"/>
              <w:right w:val="nil"/>
            </w:tcBorders>
            <w:shd w:fill="FCE4D6" w:val="clear"/>
            <w:tcMar>
              <w:top w:type="dxa" w:w="120"/>
              <w:left w:type="dxa" w:w="200"/>
              <w:bottom w:type="dxa" w:w="120"/>
              <w:right w:type="dxa" w:w="120"/>
            </w:tcMar>
          </w:tcPr>
          <w:p>
            <w:pPr>
              <w:spacing w:after="60" w:before="0"/>
            </w:pPr>
            <w:r>
              <w:rPr>
                <w:rFonts w:ascii="Arial" w:cs="Arial" w:eastAsia="Arial" w:hAnsi="Arial"/>
                <w:b/>
                <w:bCs/>
                <w:color w:val="833C00"/>
                <w:sz w:val="22"/>
                <w:szCs w:val="22"/>
              </w:rPr>
              <w:t xml:space="preserve">The Fundamental Flaw of Disproportionality Analysis</w:t>
            </w:r>
          </w:p>
          <w:p>
            <w:pPr>
              <w:spacing w:after="0" w:before="0"/>
            </w:pPr>
            <w:r>
              <w:rPr>
                <w:rFonts w:ascii="Arial" w:cs="Arial" w:eastAsia="Arial" w:hAnsi="Arial"/>
                <w:color w:val="1A1A1A"/>
                <w:sz w:val="22"/>
                <w:szCs w:val="22"/>
              </w:rPr>
              <w:t xml:space="preserve">Disproportionality analysis is purely correlational. It tells you that Drug X and Event Y appear together more often than chance. It does not tell you whether Drug X caused Event Y, whether the underlying disease caused Event Y, whether another drug the patient was also taking caused Event Y, or whether the signal is an artifact of reporting patterns. All four of these scenarios produce the same high ROR score — and the method cannot distinguish between them.</w:t>
            </w:r>
          </w:p>
        </w:tc>
      </w:tr>
    </w:tbl>
    <w:p>
      <w:pPr>
        <w:spacing w:after="120" w:before="0"/>
      </w:pPr>
      <w:r>
        <w:t xml:space="preserve"/>
      </w:r>
    </w:p>
    <w:p>
      <w:pPr>
        <w:pStyle w:val="Heading2"/>
        <w:spacing w:after="140" w:before="280"/>
      </w:pPr>
      <w:r>
        <w:rPr>
          <w:rFonts w:ascii="Arial" w:cs="Arial" w:eastAsia="Arial" w:hAnsi="Arial"/>
          <w:b/>
          <w:bCs/>
          <w:color w:val="2E75B6"/>
          <w:sz w:val="28"/>
          <w:szCs w:val="28"/>
        </w:rPr>
        <w:t xml:space="preserve">2.2  Three Concrete Scenarios Where Correlation Fails</w:t>
      </w:r>
    </w:p>
    <w:p>
      <w:pPr>
        <w:spacing w:after="60" w:before="0"/>
      </w:pPr>
      <w:r>
        <w:t xml:space="preserve"/>
      </w:r>
    </w:p>
    <w:p>
      <w:pPr>
        <w:pStyle w:val="Heading3"/>
        <w:spacing w:after="100" w:before="200"/>
      </w:pPr>
      <w:r>
        <w:rPr>
          <w:rFonts w:ascii="Arial" w:cs="Arial" w:eastAsia="Arial" w:hAnsi="Arial"/>
          <w:b/>
          <w:bCs/>
          <w:color w:val="404040"/>
          <w:sz w:val="24"/>
          <w:szCs w:val="24"/>
        </w:rPr>
        <w:t xml:space="preserve">Scenario A — Confounding by Indication</w:t>
      </w:r>
    </w:p>
    <w:p>
      <w:pPr>
        <w:spacing w:after="120" w:before="80" w:line="280"/>
      </w:pPr>
      <w:r>
        <w:rPr>
          <w:rFonts w:ascii="Arial" w:cs="Arial" w:eastAsia="Arial" w:hAnsi="Arial"/>
          <w:color w:val="1A1A1A"/>
          <w:sz w:val="22"/>
          <w:szCs w:val="22"/>
        </w:rPr>
        <w:t xml:space="preserve">A patient with severe heart failure is prescribed Drug X. Heart failure causes fatigue, shortness of breath, and edema. When an adverse event report is filed, the reporter lists Drug X as the suspected drug and fatigue as the adverse event. The DA method sees Drug X co-reported with fatigue at a high rate and generates a strong safety signal. But the fatigue was caused by heart failure, not Drug X. The disease indication itself is the confounder — and DA has no mechanism to adjust for it.</w:t>
      </w:r>
    </w:p>
    <w:p>
      <w:pPr>
        <w:spacing w:after="80" w:before="0"/>
      </w:pPr>
      <w:r>
        <w:t xml:space="preserve"/>
      </w:r>
    </w:p>
    <w:p>
      <w:pPr>
        <w:pStyle w:val="Heading3"/>
        <w:spacing w:after="100" w:before="200"/>
      </w:pPr>
      <w:r>
        <w:rPr>
          <w:rFonts w:ascii="Arial" w:cs="Arial" w:eastAsia="Arial" w:hAnsi="Arial"/>
          <w:b/>
          <w:bCs/>
          <w:color w:val="404040"/>
          <w:sz w:val="24"/>
          <w:szCs w:val="24"/>
        </w:rPr>
        <w:t xml:space="preserve">Scenario B — Notoriety Bias (Weber Effect)</w:t>
      </w:r>
    </w:p>
    <w:p>
      <w:pPr>
        <w:spacing w:after="120" w:before="80" w:line="280"/>
      </w:pPr>
      <w:r>
        <w:rPr>
          <w:rFonts w:ascii="Arial" w:cs="Arial" w:eastAsia="Arial" w:hAnsi="Arial"/>
          <w:color w:val="1A1A1A"/>
          <w:sz w:val="22"/>
          <w:szCs w:val="22"/>
        </w:rPr>
        <w:t xml:space="preserve">A major news article publishes a story about Drug X causing liver toxicity. Reporting rates spike dramatically in the weeks following — not because the drug became more dangerous, but because awareness increased. DA methods see the spike in ROR and flag a strengthened signal. Causal analysis with temporal controls reveals the spike is not driven by actual pharmacology but by reporting behavior change. These are completely different signals requiring completely different responses.</w:t>
      </w:r>
    </w:p>
    <w:p>
      <w:pPr>
        <w:spacing w:after="80" w:before="0"/>
      </w:pPr>
      <w:r>
        <w:t xml:space="preserve"/>
      </w:r>
    </w:p>
    <w:p>
      <w:pPr>
        <w:pStyle w:val="Heading3"/>
        <w:spacing w:after="100" w:before="200"/>
      </w:pPr>
      <w:r>
        <w:rPr>
          <w:rFonts w:ascii="Arial" w:cs="Arial" w:eastAsia="Arial" w:hAnsi="Arial"/>
          <w:b/>
          <w:bCs/>
          <w:color w:val="404040"/>
          <w:sz w:val="24"/>
          <w:szCs w:val="24"/>
        </w:rPr>
        <w:t xml:space="preserve">Scenario C — Drug-Drug Interaction Masking</w:t>
      </w:r>
    </w:p>
    <w:p>
      <w:pPr>
        <w:spacing w:after="120" w:before="80" w:line="280"/>
      </w:pPr>
      <w:r>
        <w:rPr>
          <w:rFonts w:ascii="Arial" w:cs="Arial" w:eastAsia="Arial" w:hAnsi="Arial"/>
          <w:color w:val="1A1A1A"/>
          <w:sz w:val="22"/>
          <w:szCs w:val="22"/>
        </w:rPr>
        <w:t xml:space="preserve">A patient takes Drug X and Drug Y simultaneously. Drug Y is actually causing the adverse event, but because Drug X is newer and less familiar to the reporter, it gets listed as the primary suspect. Every DA method attributes the signal to Drug X. A causal model that controls for concomitant medications and uses propensity score matching to build comparable patient cohorts would correctly attribute the effect to Drug Y.</w:t>
      </w:r>
    </w:p>
    <w:p>
      <w:pPr>
        <w:spacing w:after="120" w:before="0"/>
      </w:pPr>
      <w:r>
        <w:t xml:space="preserve"/>
      </w:r>
    </w:p>
    <w:p>
      <w:pPr>
        <w:pStyle w:val="Heading2"/>
        <w:spacing w:after="140" w:before="280"/>
      </w:pPr>
      <w:r>
        <w:rPr>
          <w:rFonts w:ascii="Arial" w:cs="Arial" w:eastAsia="Arial" w:hAnsi="Arial"/>
          <w:b/>
          <w:bCs/>
          <w:color w:val="2E75B6"/>
          <w:sz w:val="28"/>
          <w:szCs w:val="28"/>
        </w:rPr>
        <w:t xml:space="preserve">2.3  What Causal ML Actually Does</w:t>
      </w:r>
    </w:p>
    <w:p>
      <w:pPr>
        <w:spacing w:after="120" w:before="80" w:line="280"/>
      </w:pPr>
      <w:r>
        <w:rPr>
          <w:rFonts w:ascii="Arial" w:cs="Arial" w:eastAsia="Arial" w:hAnsi="Arial"/>
          <w:color w:val="1A1A1A"/>
          <w:sz w:val="22"/>
          <w:szCs w:val="22"/>
        </w:rPr>
        <w:t xml:space="preserve">Causal ML does not just ask whether Drug X and Event Y appear together. It asks: if we compare two groups of patients who are identical in every measurable way — same age, same comorbidities, same concomitant drugs, same severity of illness — except one group took Drug X and the other did not, what is the difference in their rate of Event Y?</w:t>
      </w:r>
    </w:p>
    <w:p>
      <w:pPr>
        <w:spacing w:after="80" w:before="0"/>
      </w:pPr>
      <w:r>
        <w:t xml:space="preserve"/>
      </w:r>
    </w:p>
    <w:p>
      <w:pPr>
        <w:spacing w:after="120" w:before="80" w:line="280"/>
      </w:pPr>
      <w:r>
        <w:rPr>
          <w:rFonts w:ascii="Arial" w:cs="Arial" w:eastAsia="Arial" w:hAnsi="Arial"/>
          <w:color w:val="1A1A1A"/>
          <w:sz w:val="22"/>
          <w:szCs w:val="22"/>
        </w:rPr>
        <w:t xml:space="preserve">This is the Potential Outcomes Framework, formalized by Judea Pearl in his Causal Hierarchy. It requires defining a Directed Acyclic Graph (DAG) that maps the causal structure — which variables cause which — and then estimating the causal effect of the treatment (drug) on the outcome (adverse event) after blocking all backdoor paths through confounders.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Disproportionality Analysis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Causal ML (this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question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Does Drug X appear with Event Y more than chance?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Did Drug X cause Event Y in this patient population?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Handles confounders?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 cannot adjust for disease, age, other drugs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 — propensity score matching + DAG adjustment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Temporal logic?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order of drug and event is ignored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time-to-onset modeled explicitly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Drug interaction handling?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 treats drugs independently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 — concomitant drug effects controlled via covariates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 type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Association score (ROR, PRR, BCPNN)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Causal effect estimate with confidence interval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False positive rate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 notoriety bias, confounding inflate scores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Lower — spurious signals filtered by refutation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Explainability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 just a number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 which confounders were adjusted, how effect was estimated</w:t>
            </w:r>
          </w:p>
        </w:tc>
      </w:tr>
    </w:tbl>
    <w:p>
      <w:pPr>
        <w:spacing w:after="120" w:before="0"/>
      </w:pPr>
      <w:r>
        <w:t xml:space="preserve"/>
      </w:r>
    </w:p>
    <w:p>
      <w:pPr>
        <w:pStyle w:val="Heading2"/>
        <w:spacing w:after="140" w:before="280"/>
      </w:pPr>
      <w:r>
        <w:rPr>
          <w:rFonts w:ascii="Arial" w:cs="Arial" w:eastAsia="Arial" w:hAnsi="Arial"/>
          <w:b/>
          <w:bCs/>
          <w:color w:val="2E75B6"/>
          <w:sz w:val="28"/>
          <w:szCs w:val="28"/>
        </w:rPr>
        <w:t xml:space="preserve">2.4  The Tool: DoWhy + EconML</w:t>
      </w:r>
    </w:p>
    <w:p>
      <w:pPr>
        <w:spacing w:after="120" w:before="80" w:line="280"/>
      </w:pPr>
      <w:r>
        <w:rPr>
          <w:rFonts w:ascii="Arial" w:cs="Arial" w:eastAsia="Arial" w:hAnsi="Arial"/>
          <w:color w:val="1A1A1A"/>
          <w:sz w:val="22"/>
          <w:szCs w:val="22"/>
        </w:rPr>
        <w:t xml:space="preserve">Microsoft's DoWhy library implements the four-step causal inference workflow: (1) Model — define the causal graph as a DAG; (2) Identify — determine which causal effect can be estimated from the available data; (3) Estimate — use propensity score matching, inverse probability weighting, or double machine learning to compute the effect; (4) Refute — run randomization and placebo tests to validate the estimate is not spurious.</w:t>
      </w:r>
    </w:p>
    <w:p>
      <w:pPr>
        <w:spacing w:after="80" w:before="0"/>
      </w:pPr>
      <w:r>
        <w:t xml:space="preserve"/>
      </w:r>
    </w:p>
    <w:p>
      <w:pPr>
        <w:spacing w:after="120" w:before="80" w:line="280"/>
      </w:pPr>
      <w:r>
        <w:rPr>
          <w:rFonts w:ascii="Arial" w:cs="Arial" w:eastAsia="Arial" w:hAnsi="Arial"/>
          <w:color w:val="1A1A1A"/>
          <w:sz w:val="22"/>
          <w:szCs w:val="22"/>
        </w:rPr>
        <w:t xml:space="preserve">EconML (also Microsoft) provides the Double Machine Learning (DML) estimator, which uses two separate ML models — one to predict the treatment from covariates, one to predict the outcome from covariates — and then estimates the causal effect from the residuals. This is the current state of the art for causal effect estimation in observational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12"/>
              <w:left w:val="single" w:color="1F4E79" w:sz="18"/>
              <w:bottom w:val="nil"/>
              <w:right w:val="nil"/>
            </w:tcBorders>
            <w:shd w:fill="EBF1DE" w:val="clear"/>
            <w:tcMar>
              <w:top w:type="dxa" w:w="120"/>
              <w:left w:type="dxa" w:w="200"/>
              <w:bottom w:type="dxa" w:w="120"/>
              <w:right w:type="dxa" w:w="120"/>
            </w:tcMar>
          </w:tcPr>
          <w:p>
            <w:pPr>
              <w:spacing w:after="60" w:before="0"/>
            </w:pPr>
            <w:r>
              <w:rPr>
                <w:rFonts w:ascii="Arial" w:cs="Arial" w:eastAsia="Arial" w:hAnsi="Arial"/>
                <w:b/>
                <w:bCs/>
                <w:color w:val="375623"/>
                <w:sz w:val="22"/>
                <w:szCs w:val="22"/>
              </w:rPr>
              <w:t xml:space="preserve">Research Gap Confirmed by Literature</w:t>
            </w:r>
          </w:p>
          <w:p>
            <w:pPr>
              <w:spacing w:after="0" w:before="0"/>
            </w:pPr>
            <w:r>
              <w:rPr>
                <w:rFonts w:ascii="Arial" w:cs="Arial" w:eastAsia="Arial" w:hAnsi="Arial"/>
                <w:color w:val="1A1A1A"/>
                <w:sz w:val="22"/>
                <w:szCs w:val="22"/>
              </w:rPr>
              <w:t xml:space="preserve">A comprehensive literature review published in Drug Safety (Springer, 2022) and confirmed in multiple 2025 follow-up papers explicitly states: 'Most existing data sources and tasks for pharmacovigilance were not designed for causal inference. Pharmacovigilance was lagging in adopting machine learning-causal inference integrated models.' The 2025 paper in International Journal of Clinical Pharmacy (Springer) explicitly calls for 'a shift toward causally informed, interpretable models' as one of four identified research priorities. This is your exact innovation space.</w:t>
            </w:r>
          </w:p>
        </w:tc>
      </w:tr>
    </w:tbl>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3. Federated Learning and Regulatory Compliance</w:t>
      </w:r>
    </w:p>
    <w:p>
      <w:pPr>
        <w:spacing w:after="120" w:before="80" w:line="280"/>
      </w:pPr>
      <w:r>
        <w:rPr>
          <w:rFonts w:ascii="Arial" w:cs="Arial" w:eastAsia="Arial" w:hAnsi="Arial"/>
          <w:color w:val="1A1A1A"/>
          <w:sz w:val="22"/>
          <w:szCs w:val="22"/>
        </w:rPr>
        <w:t xml:space="preserve">The second major conceptual pillar of this system is federated learning. To understand why it is necessary and how it addresses regulatory requirements, you first need to understand what the regulatory problem actually is — and it is not what most people assume.</w:t>
      </w:r>
    </w:p>
    <w:p>
      <w:pPr>
        <w:spacing w:after="100" w:before="0"/>
      </w:pPr>
      <w:r>
        <w:t xml:space="preserve"/>
      </w:r>
    </w:p>
    <w:p>
      <w:pPr>
        <w:pStyle w:val="Heading2"/>
        <w:spacing w:after="140" w:before="280"/>
      </w:pPr>
      <w:r>
        <w:rPr>
          <w:rFonts w:ascii="Arial" w:cs="Arial" w:eastAsia="Arial" w:hAnsi="Arial"/>
          <w:b/>
          <w:bCs/>
          <w:color w:val="2E75B6"/>
          <w:sz w:val="28"/>
          <w:szCs w:val="28"/>
        </w:rPr>
        <w:t xml:space="preserve">3.1  The Regulatory Landscape for Health Data</w:t>
      </w:r>
    </w:p>
    <w:p>
      <w:pPr>
        <w:spacing w:after="120" w:before="80" w:line="280"/>
      </w:pPr>
      <w:r>
        <w:rPr>
          <w:rFonts w:ascii="Arial" w:cs="Arial" w:eastAsia="Arial" w:hAnsi="Arial"/>
          <w:color w:val="1A1A1A"/>
          <w:sz w:val="22"/>
          <w:szCs w:val="22"/>
        </w:rPr>
        <w:t xml:space="preserve">Pharmacovigilance data does not exist only in FAERS. The richest, most complete, most clinically detailed data sits inside hospital Electronic Health Records (EHRs) — where a patient's complete medication history, lab values, diagnoses, and outcomes are recorded together. If you could train a signal detection model across multiple hospitals' EHRs simultaneously, you would have dramatically better data quality, larger sample sizes, and access to properly controlled populations.</w:t>
      </w:r>
    </w:p>
    <w:p>
      <w:pPr>
        <w:spacing w:after="80" w:before="0"/>
      </w:pPr>
      <w:r>
        <w:t xml:space="preserve"/>
      </w:r>
    </w:p>
    <w:p>
      <w:pPr>
        <w:spacing w:after="120" w:before="80" w:line="280"/>
      </w:pPr>
      <w:r>
        <w:rPr>
          <w:rFonts w:ascii="Arial" w:cs="Arial" w:eastAsia="Arial" w:hAnsi="Arial"/>
          <w:color w:val="1A1A1A"/>
          <w:sz w:val="22"/>
          <w:szCs w:val="22"/>
        </w:rPr>
        <w:t xml:space="preserve">The problem: you cannot move that data anywhere.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Jurisdiction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Restriction on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HIPAA (Health Insurance Portability and Accountability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United States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Protected Health Information (PHI) cannot be transferred without explicit patient consent or de-identification. Violations carry fines up to $1.9M per category per year.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GDPR (General Data Protection Regulation)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European Union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Patient health data is Special Category Data requiring explicit consent or strict legal basis for processing. Cross-border transfers require adequacy decisions or Standard Contractual Clauses. Fines of up to 4% of global annual revenue — over EUR 5.5 billion collected to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DISHA (Digital Information Security in Healthcare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Health data must be stored on Indian servers (data localization). Transfer outside India requires patient consent and regulatory approval.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DSG (Revised Data Protection Act)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Switzerland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Health data treated as sensitive personal data. Local storage mandated; cross-border transfers subject to strict adequacy requirements.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 AI Act (2024)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European Union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systems in healthcare classified as High-Risk. Requires transparency, audit trails, human oversight, and robustness against adversarial attacks.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FDA AI Guidance (Draft, January 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United States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Risk-based credibility assessment framework for AI used in drug regulatory decisions. Requires documentation, validation, and lifecycle monitoring.</w:t>
            </w:r>
          </w:p>
        </w:tc>
      </w:tr>
    </w:tbl>
    <w:p>
      <w:pPr>
        <w:spacing w:after="120" w:before="0"/>
      </w:pPr>
      <w:r>
        <w:t xml:space="preserve"/>
      </w:r>
    </w:p>
    <w:p>
      <w:pPr>
        <w:spacing w:after="120" w:before="80" w:line="280"/>
      </w:pPr>
      <w:r>
        <w:rPr>
          <w:rFonts w:ascii="Arial" w:cs="Arial" w:eastAsia="Arial" w:hAnsi="Arial"/>
          <w:color w:val="1A1A1A"/>
          <w:sz w:val="22"/>
          <w:szCs w:val="22"/>
        </w:rPr>
        <w:t xml:space="preserve">The practical consequence of all of these regulations is the same: if Hospital A in Mumbai, Hospital B in Frankfurt, and Hospital C in Chicago each have EHR data relevant to pharmacovigilance, none of them can send their raw patient records to a central server for model training — even for research purposes — without violating at least one of the above regulations.</w:t>
      </w:r>
    </w:p>
    <w:p>
      <w:pPr>
        <w:spacing w:after="120" w:before="0"/>
      </w:pPr>
      <w:r>
        <w:t xml:space="preserve"/>
      </w:r>
    </w:p>
    <w:p>
      <w:pPr>
        <w:pStyle w:val="Heading2"/>
        <w:spacing w:after="140" w:before="280"/>
      </w:pPr>
      <w:r>
        <w:rPr>
          <w:rFonts w:ascii="Arial" w:cs="Arial" w:eastAsia="Arial" w:hAnsi="Arial"/>
          <w:b/>
          <w:bCs/>
          <w:color w:val="2E75B6"/>
          <w:sz w:val="28"/>
          <w:szCs w:val="28"/>
        </w:rPr>
        <w:t xml:space="preserve">3.2  What Federated Learning Actually Does</w:t>
      </w:r>
    </w:p>
    <w:p>
      <w:pPr>
        <w:spacing w:after="120" w:before="80" w:line="280"/>
      </w:pPr>
      <w:r>
        <w:rPr>
          <w:rFonts w:ascii="Arial" w:cs="Arial" w:eastAsia="Arial" w:hAnsi="Arial"/>
          <w:color w:val="1A1A1A"/>
          <w:sz w:val="22"/>
          <w:szCs w:val="22"/>
        </w:rPr>
        <w:t xml:space="preserve">Federated learning (FL) inverts the traditional ML paradigm. Instead of moving data to the model, it moves the model to the data.</w:t>
      </w:r>
    </w:p>
    <w:p>
      <w:pPr>
        <w:spacing w:after="80" w:before="0"/>
      </w:pPr>
      <w:r>
        <w:t xml:space="preserve"/>
      </w:r>
    </w:p>
    <w:p>
      <w:pPr>
        <w:spacing w:after="120" w:before="80" w:line="280"/>
      </w:pPr>
      <w:r>
        <w:rPr>
          <w:rFonts w:ascii="Arial" w:cs="Arial" w:eastAsia="Arial" w:hAnsi="Arial"/>
          <w:color w:val="1A1A1A"/>
          <w:sz w:val="22"/>
          <w:szCs w:val="22"/>
        </w:rPr>
        <w:t xml:space="preserve">The workflow is as follows: A central server initializes a global model and distributes its weights to each participating institution (hospital, regulatory agency, or pharma company). Each institution trains the model locally on its own data — the raw patient records never leave its servers. Each institution sends only the updated model weights (gradients) back to the central server. The server aggregates the gradients using FedAvg (Federated Averaging) or a more sophisticated algorithm to produce an improved global model. This global model is redistributed and the cycle repeats.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12"/>
              <w:left w:val="single" w:color="1F4E79" w:sz="18"/>
              <w:bottom w:val="nil"/>
              <w:right w:val="nil"/>
            </w:tcBorders>
            <w:shd w:fill="DAEEF3"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The Key Regulatory Insight</w:t>
            </w:r>
          </w:p>
          <w:p>
            <w:pPr>
              <w:spacing w:after="0" w:before="0"/>
            </w:pPr>
            <w:r>
              <w:rPr>
                <w:rFonts w:ascii="Arial" w:cs="Arial" w:eastAsia="Arial" w:hAnsi="Arial"/>
                <w:color w:val="1A1A1A"/>
                <w:sz w:val="22"/>
                <w:szCs w:val="22"/>
              </w:rPr>
              <w:t xml:space="preserve">Federated learning does not share raw data. It shares only mathematical model parameters — gradient vectors that describe how the model weights should change, not the underlying patient records. This distinction is what allows FL to comply with HIPAA, GDPR, DISHA, and other data localization laws. Each institution maintains complete data sovereignty while collectively training a model that benefits from all institutions' data. A 2025 Frontiers in Drug Safety and Regulation paper co-authored by researchers from the FDA, EMA, and Swissmedic explicitly validated this approach for regulatory pharmacovigilance collaboration.</w:t>
            </w:r>
          </w:p>
        </w:tc>
      </w:tr>
    </w:tbl>
    <w:p>
      <w:pPr>
        <w:spacing w:after="120" w:before="0"/>
      </w:pPr>
      <w:r>
        <w:t xml:space="preserve"/>
      </w:r>
    </w:p>
    <w:p>
      <w:pPr>
        <w:pStyle w:val="Heading2"/>
        <w:spacing w:after="140" w:before="280"/>
      </w:pPr>
      <w:r>
        <w:rPr>
          <w:rFonts w:ascii="Arial" w:cs="Arial" w:eastAsia="Arial" w:hAnsi="Arial"/>
          <w:b/>
          <w:bCs/>
          <w:color w:val="2E75B6"/>
          <w:sz w:val="28"/>
          <w:szCs w:val="28"/>
        </w:rPr>
        <w:t xml:space="preserve">3.3  Does Federated Learning Fully Solve Regulatory Compliance?</w:t>
      </w:r>
    </w:p>
    <w:p>
      <w:pPr>
        <w:spacing w:after="120" w:before="80" w:line="280"/>
      </w:pPr>
      <w:r>
        <w:rPr>
          <w:rFonts w:ascii="Arial" w:cs="Arial" w:eastAsia="Arial" w:hAnsi="Arial"/>
          <w:color w:val="1A1A1A"/>
          <w:sz w:val="22"/>
          <w:szCs w:val="22"/>
        </w:rPr>
        <w:t xml:space="preserve">This is the important nuanced answer that most hackathon presentations get wrong — and getting it right will impress judges.</w:t>
      </w:r>
    </w:p>
    <w:p>
      <w:pPr>
        <w:spacing w:after="80" w:before="0"/>
      </w:pPr>
      <w:r>
        <w:t xml:space="preserve"/>
      </w:r>
    </w:p>
    <w:p>
      <w:pPr>
        <w:spacing w:after="120" w:before="80" w:line="280"/>
      </w:pPr>
      <w:r>
        <w:rPr>
          <w:rFonts w:ascii="Arial" w:cs="Arial" w:eastAsia="Arial" w:hAnsi="Arial"/>
          <w:color w:val="1A1A1A"/>
          <w:sz w:val="22"/>
          <w:szCs w:val="22"/>
        </w:rPr>
        <w:t xml:space="preserve">Federated learning addresses the primary legal barrier — data movement and centralization — but it does not by itself guarantee complete regulatory compliance. The following additional layers are needed, and your system includes them:</w:t>
      </w:r>
    </w:p>
    <w:p>
      <w:pPr>
        <w:spacing w:after="80" w:before="0"/>
      </w:pPr>
      <w:r>
        <w:t xml:space="preserve"/>
      </w:r>
    </w:p>
    <w:p>
      <w:pPr>
        <w:pStyle w:val="Heading3"/>
        <w:spacing w:after="100" w:before="200"/>
      </w:pPr>
      <w:r>
        <w:rPr>
          <w:rFonts w:ascii="Arial" w:cs="Arial" w:eastAsia="Arial" w:hAnsi="Arial"/>
          <w:b/>
          <w:bCs/>
          <w:color w:val="404040"/>
          <w:sz w:val="24"/>
          <w:szCs w:val="24"/>
        </w:rPr>
        <w:t xml:space="preserve">Layer 1 — Differential Privacy</w:t>
      </w:r>
    </w:p>
    <w:p>
      <w:pPr>
        <w:spacing w:after="120" w:before="80" w:line="280"/>
      </w:pPr>
      <w:r>
        <w:rPr>
          <w:rFonts w:ascii="Arial" w:cs="Arial" w:eastAsia="Arial" w:hAnsi="Arial"/>
          <w:color w:val="1A1A1A"/>
          <w:sz w:val="22"/>
          <w:szCs w:val="22"/>
        </w:rPr>
        <w:t xml:space="preserve">Even model gradients can potentially leak information about individual records through inference attacks — where an adversary reconstructs training data from gradient updates. Differential Privacy (DP) adds mathematically calibrated random noise to the gradients before they leave each institution. Research shows that noise levels up to 30% do not significantly degrade model performance while providing strong privacy guarantees. In your system, DP is applied using the Opacus library (PyTorch-native DP for FL).</w:t>
      </w:r>
    </w:p>
    <w:p>
      <w:pPr>
        <w:spacing w:after="80" w:before="0"/>
      </w:pPr>
      <w:r>
        <w:t xml:space="preserve"/>
      </w:r>
    </w:p>
    <w:p>
      <w:pPr>
        <w:pStyle w:val="Heading3"/>
        <w:spacing w:after="100" w:before="200"/>
      </w:pPr>
      <w:r>
        <w:rPr>
          <w:rFonts w:ascii="Arial" w:cs="Arial" w:eastAsia="Arial" w:hAnsi="Arial"/>
          <w:b/>
          <w:bCs/>
          <w:color w:val="404040"/>
          <w:sz w:val="24"/>
          <w:szCs w:val="24"/>
        </w:rPr>
        <w:t xml:space="preserve">Layer 2 — Secure Aggregation</w:t>
      </w:r>
    </w:p>
    <w:p>
      <w:pPr>
        <w:spacing w:after="120" w:before="80" w:line="280"/>
      </w:pPr>
      <w:r>
        <w:rPr>
          <w:rFonts w:ascii="Arial" w:cs="Arial" w:eastAsia="Arial" w:hAnsi="Arial"/>
          <w:color w:val="1A1A1A"/>
          <w:sz w:val="22"/>
          <w:szCs w:val="22"/>
        </w:rPr>
        <w:t xml:space="preserve">The central aggregation server sees the average of all gradients, but should not see any individual institution's contribution. Secure Multi-Party Computation (SMPC) or Trusted Execution Environments (TEE) ensure the server can aggregate gradients without ever observing individual node updates. This prevents even the coordinating institution from profiling specific hospitals.</w:t>
      </w:r>
    </w:p>
    <w:p>
      <w:pPr>
        <w:spacing w:after="80" w:before="0"/>
      </w:pPr>
      <w:r>
        <w:t xml:space="preserve"/>
      </w:r>
    </w:p>
    <w:p>
      <w:pPr>
        <w:pStyle w:val="Heading3"/>
        <w:spacing w:after="100" w:before="200"/>
      </w:pPr>
      <w:r>
        <w:rPr>
          <w:rFonts w:ascii="Arial" w:cs="Arial" w:eastAsia="Arial" w:hAnsi="Arial"/>
          <w:b/>
          <w:bCs/>
          <w:color w:val="404040"/>
          <w:sz w:val="24"/>
          <w:szCs w:val="24"/>
        </w:rPr>
        <w:t xml:space="preserve">Layer 3 — Audit Trails for EU AI Act Compliance</w:t>
      </w:r>
    </w:p>
    <w:p>
      <w:pPr>
        <w:spacing w:after="120" w:before="80" w:line="280"/>
      </w:pPr>
      <w:r>
        <w:rPr>
          <w:rFonts w:ascii="Arial" w:cs="Arial" w:eastAsia="Arial" w:hAnsi="Arial"/>
          <w:color w:val="1A1A1A"/>
          <w:sz w:val="22"/>
          <w:szCs w:val="22"/>
        </w:rPr>
        <w:t xml:space="preserve">The EU AI Act classifies healthcare AI as High-Risk, requiring complete audit trails of model decisions, human oversight mechanisms, and documentation of training data provenance. Your system logs every federated round, every gradient aggregation, and every signal decision with timestamps and evidence chains — making it auditable by regulators without exposing patient data.</w:t>
      </w:r>
    </w:p>
    <w:p>
      <w:pPr>
        <w:spacing w:after="80" w:before="0"/>
      </w:pPr>
      <w:r>
        <w:t xml:space="preserve"/>
      </w:r>
    </w:p>
    <w:p>
      <w:pPr>
        <w:pStyle w:val="Heading3"/>
        <w:spacing w:after="100" w:before="200"/>
      </w:pPr>
      <w:r>
        <w:rPr>
          <w:rFonts w:ascii="Arial" w:cs="Arial" w:eastAsia="Arial" w:hAnsi="Arial"/>
          <w:b/>
          <w:bCs/>
          <w:color w:val="404040"/>
          <w:sz w:val="24"/>
          <w:szCs w:val="24"/>
        </w:rPr>
        <w:t xml:space="preserve">Layer 4 — Data Residency Assurance</w:t>
      </w:r>
    </w:p>
    <w:p>
      <w:pPr>
        <w:spacing w:after="120" w:before="80" w:line="280"/>
      </w:pPr>
      <w:r>
        <w:rPr>
          <w:rFonts w:ascii="Arial" w:cs="Arial" w:eastAsia="Arial" w:hAnsi="Arial"/>
          <w:color w:val="1A1A1A"/>
          <w:sz w:val="22"/>
          <w:szCs w:val="22"/>
        </w:rPr>
        <w:t xml:space="preserve">Under DISHA (India) and DSG (Switzerland), health data must physically remain within national borders. FL respects this by construction — training happens on local servers within each jurisdiction. No data crosses a border. Only gradient vectors, which contain no patient-identifiable information, are transmitted over encrypted channels (TLS 1.3).</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12"/>
              <w:left w:val="single" w:color="1F4E79" w:sz="18"/>
              <w:bottom w:val="nil"/>
              <w:right w:val="nil"/>
            </w:tcBorders>
            <w:shd w:fill="FDE9D9" w:val="clear"/>
            <w:tcMar>
              <w:top w:type="dxa" w:w="120"/>
              <w:left w:type="dxa" w:w="200"/>
              <w:bottom w:type="dxa" w:w="120"/>
              <w:right w:type="dxa" w:w="120"/>
            </w:tcMar>
          </w:tcPr>
          <w:p>
            <w:pPr>
              <w:spacing w:after="60" w:before="0"/>
            </w:pPr>
            <w:r>
              <w:rPr>
                <w:rFonts w:ascii="Arial" w:cs="Arial" w:eastAsia="Arial" w:hAnsi="Arial"/>
                <w:b/>
                <w:bCs/>
                <w:color w:val="7F3F00"/>
                <w:sz w:val="22"/>
                <w:szCs w:val="22"/>
              </w:rPr>
              <w:t xml:space="preserve">Important Caveat</w:t>
            </w:r>
          </w:p>
          <w:p>
            <w:pPr>
              <w:spacing w:after="0" w:before="0"/>
            </w:pPr>
            <w:r>
              <w:rPr>
                <w:rFonts w:ascii="Arial" w:cs="Arial" w:eastAsia="Arial" w:hAnsi="Arial"/>
                <w:color w:val="1A1A1A"/>
                <w:sz w:val="22"/>
                <w:szCs w:val="22"/>
              </w:rPr>
              <w:t xml:space="preserve">FL does not solve all regulatory hurdles. There is ongoing legal uncertainty under GDPR about whether model gradients themselves constitute 'personal data' — if an adversary could theoretically reconstruct a patient record from gradients, regulators may still classify the gradient as personal data. This is why Differential Privacy (Layer 1) is not optional but mandatory in a compliant system. Additionally, data use agreements between institutions are still required, even in an FL setup, to define the permitted scope of model training. Your system should note this limitation explicitly in documentation — judges will respect intellectual honesty about boundaries.</w:t>
            </w:r>
          </w:p>
        </w:tc>
      </w:tr>
    </w:tbl>
    <w:p>
      <w:pPr>
        <w:spacing w:after="120" w:before="0"/>
      </w:pPr>
      <w:r>
        <w:t xml:space="preserve"/>
      </w:r>
    </w:p>
    <w:p>
      <w:pPr>
        <w:pStyle w:val="Heading2"/>
        <w:spacing w:after="140" w:before="280"/>
      </w:pPr>
      <w:r>
        <w:rPr>
          <w:rFonts w:ascii="Arial" w:cs="Arial" w:eastAsia="Arial" w:hAnsi="Arial"/>
          <w:b/>
          <w:bCs/>
          <w:color w:val="2E75B6"/>
          <w:sz w:val="28"/>
          <w:szCs w:val="28"/>
        </w:rPr>
        <w:t xml:space="preserve">3.4  The Regulatory Support for This Approach</w:t>
      </w:r>
    </w:p>
    <w:p>
      <w:pPr>
        <w:spacing w:after="120" w:before="80" w:line="280"/>
      </w:pPr>
      <w:r>
        <w:rPr>
          <w:rFonts w:ascii="Arial" w:cs="Arial" w:eastAsia="Arial" w:hAnsi="Arial"/>
          <w:color w:val="1A1A1A"/>
          <w:sz w:val="22"/>
          <w:szCs w:val="22"/>
        </w:rPr>
        <w:t xml:space="preserve">This is not theoretical — regulatory agencies are actively endorsing and piloting this approach:</w:t>
      </w:r>
    </w:p>
    <w:p>
      <w:pPr>
        <w:spacing w:after="6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In 2025, researchers from the FDA, EMA, Swissmedic, and the Danish Medicines Agency (DKMA) published a joint paper in Frontiers in Drug Safety and Regulation proposing federated learning as a roadmap for inter-agency pharmacovigilance collaboration.</w:t>
      </w:r>
    </w:p>
    <w:p>
      <w:pPr>
        <w:pStyle w:val="ListParagraph"/>
        <w:numPr>
          <w:ilvl w:val="0"/>
          <w:numId w:val="2"/>
        </w:numPr>
        <w:spacing w:after="60" w:before="60"/>
      </w:pPr>
      <w:r>
        <w:rPr>
          <w:rFonts w:ascii="Arial" w:cs="Arial" w:eastAsia="Arial" w:hAnsi="Arial"/>
          <w:color w:val="1A1A1A"/>
          <w:sz w:val="22"/>
          <w:szCs w:val="22"/>
        </w:rPr>
        <w:t xml:space="preserve">The EU AI Act (2024) explicitly encourages privacy-by-design architectures — of which federated learning is the canonical example — for high-risk healthcare AI applications.</w:t>
      </w:r>
    </w:p>
    <w:p>
      <w:pPr>
        <w:pStyle w:val="ListParagraph"/>
        <w:numPr>
          <w:ilvl w:val="0"/>
          <w:numId w:val="2"/>
        </w:numPr>
        <w:spacing w:after="60" w:before="60"/>
      </w:pPr>
      <w:r>
        <w:rPr>
          <w:rFonts w:ascii="Arial" w:cs="Arial" w:eastAsia="Arial" w:hAnsi="Arial"/>
          <w:color w:val="1A1A1A"/>
          <w:sz w:val="22"/>
          <w:szCs w:val="22"/>
        </w:rPr>
        <w:t xml:space="preserve">The FDA's January 2025 Draft AI Guidance for drug regulatory decisions emphasizes a risk-based credibility assessment framework that FL-based systems can satisfy through documentation and validation.</w:t>
      </w:r>
    </w:p>
    <w:p>
      <w:pPr>
        <w:pStyle w:val="ListParagraph"/>
        <w:numPr>
          <w:ilvl w:val="0"/>
          <w:numId w:val="2"/>
        </w:numPr>
        <w:spacing w:after="60" w:before="60"/>
      </w:pPr>
      <w:r>
        <w:rPr>
          <w:rFonts w:ascii="Arial" w:cs="Arial" w:eastAsia="Arial" w:hAnsi="Arial"/>
          <w:color w:val="1A1A1A"/>
          <w:sz w:val="22"/>
          <w:szCs w:val="22"/>
        </w:rPr>
        <w:t xml:space="preserve">The EMA published tools and guidelines in 2024 to incorporate AI into pharmacovigilance, emphasizing transparency, validation, and monitoring — all of which FL with audit trails directly addresses.</w:t>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4. System Architecture — The Full Pipeline</w:t>
      </w:r>
    </w:p>
    <w:p>
      <w:pPr>
        <w:spacing w:after="120" w:before="80" w:line="280"/>
      </w:pPr>
      <w:r>
        <w:rPr>
          <w:rFonts w:ascii="Arial" w:cs="Arial" w:eastAsia="Arial" w:hAnsi="Arial"/>
          <w:color w:val="1A1A1A"/>
          <w:sz w:val="22"/>
          <w:szCs w:val="22"/>
        </w:rPr>
        <w:t xml:space="preserve">The system operates as a five-layer pipeline, each solving a distinct part of the pharmacovigilance problem. The layers are designed to be independently testable, which is critical for a hackathon prototype.</w:t>
      </w:r>
    </w:p>
    <w:p>
      <w:pPr>
        <w:spacing w:after="100" w:before="0"/>
      </w:pPr>
      <w:r>
        <w:t xml:space="preserve"/>
      </w:r>
    </w:p>
    <w:p>
      <w:pPr>
        <w:pStyle w:val="Heading2"/>
        <w:spacing w:after="140" w:before="280"/>
      </w:pPr>
      <w:r>
        <w:rPr>
          <w:rFonts w:ascii="Arial" w:cs="Arial" w:eastAsia="Arial" w:hAnsi="Arial"/>
          <w:b/>
          <w:bCs/>
          <w:color w:val="2E75B6"/>
          <w:sz w:val="28"/>
          <w:szCs w:val="28"/>
        </w:rPr>
        <w:t xml:space="preserve">4.1  Layer 1 — Multi-Source Data Ingestion</w:t>
      </w:r>
    </w:p>
    <w:p>
      <w:pPr>
        <w:spacing w:after="120" w:before="80" w:line="280"/>
      </w:pPr>
      <w:r>
        <w:rPr>
          <w:rFonts w:ascii="Arial" w:cs="Arial" w:eastAsia="Arial" w:hAnsi="Arial"/>
          <w:color w:val="1A1A1A"/>
          <w:sz w:val="22"/>
          <w:szCs w:val="22"/>
        </w:rPr>
        <w:t xml:space="preserve">The system ingests from three classes of data sources simultaneously, each contributing complementary signal types: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60"/>
        <w:gridCol w:w="22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FAERS (via openFDA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57M+ spontaneous ADR reports with demographics, drug, reaction, 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public REST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AEOLUS (curated FAERS)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Structured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Pre-cleaned FAERS with RxNorm drug mapping and SNOMED-CT outcome mapping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 GitHub / OHDSI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PubMed / MEDLINE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Unstructured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21M+ biomedical articles — drug-ADR mentions in literature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PubMed API (NCBI E-utilities)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DrugBank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Structured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Drug chemical properties, mechanisms, known interactions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 academic license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Known confirmed side effects per drug — used as ground truth labels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public download</w:t>
            </w:r>
          </w:p>
        </w:tc>
      </w:tr>
    </w:tbl>
    <w:p>
      <w:pPr>
        <w:spacing w:after="120" w:before="0"/>
      </w:pPr>
      <w:r>
        <w:t xml:space="preserve"/>
      </w:r>
    </w:p>
    <w:p>
      <w:pPr>
        <w:pStyle w:val="Heading2"/>
        <w:spacing w:after="140" w:before="280"/>
      </w:pPr>
      <w:r>
        <w:rPr>
          <w:rFonts w:ascii="Arial" w:cs="Arial" w:eastAsia="Arial" w:hAnsi="Arial"/>
          <w:b/>
          <w:bCs/>
          <w:color w:val="2E75B6"/>
          <w:sz w:val="28"/>
          <w:szCs w:val="28"/>
        </w:rPr>
        <w:t xml:space="preserve">4.2  Layer 2 — NLP Extraction and Standardization</w:t>
      </w:r>
    </w:p>
    <w:p>
      <w:pPr>
        <w:spacing w:after="120" w:before="80" w:line="280"/>
      </w:pPr>
      <w:r>
        <w:rPr>
          <w:rFonts w:ascii="Arial" w:cs="Arial" w:eastAsia="Arial" w:hAnsi="Arial"/>
          <w:color w:val="1A1A1A"/>
          <w:sz w:val="22"/>
          <w:szCs w:val="22"/>
        </w:rPr>
        <w:t xml:space="preserve">Unstructured text from PubMed must be converted into structured drug-ADR pairs before it can be used. The NLP pipeline uses:</w:t>
      </w:r>
    </w:p>
    <w:p>
      <w:pPr>
        <w:spacing w:after="6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BioBERT (pre-trained on PubMed + PMC full text) for named entity recognition — identifying drug names, disease names, and adverse event mentions in context</w:t>
      </w:r>
    </w:p>
    <w:p>
      <w:pPr>
        <w:pStyle w:val="ListParagraph"/>
        <w:numPr>
          <w:ilvl w:val="0"/>
          <w:numId w:val="2"/>
        </w:numPr>
        <w:spacing w:after="60" w:before="60"/>
      </w:pPr>
      <w:r>
        <w:rPr>
          <w:rFonts w:ascii="Arial" w:cs="Arial" w:eastAsia="Arial" w:hAnsi="Arial"/>
          <w:color w:val="1A1A1A"/>
          <w:sz w:val="22"/>
          <w:szCs w:val="22"/>
        </w:rPr>
        <w:t xml:space="preserve">SciSpaCy's en_ner_bc5cdr_md model for biomedical NER, specifically trained on the BC5CDR corpus (chemical and disease entity recognition)</w:t>
      </w:r>
    </w:p>
    <w:p>
      <w:pPr>
        <w:pStyle w:val="ListParagraph"/>
        <w:numPr>
          <w:ilvl w:val="0"/>
          <w:numId w:val="2"/>
        </w:numPr>
        <w:spacing w:after="60" w:before="60"/>
      </w:pPr>
      <w:r>
        <w:rPr>
          <w:rFonts w:ascii="Arial" w:cs="Arial" w:eastAsia="Arial" w:hAnsi="Arial"/>
          <w:color w:val="1A1A1A"/>
          <w:sz w:val="22"/>
          <w:szCs w:val="22"/>
        </w:rPr>
        <w:t xml:space="preserve">MedSpaCy for temporal relation extraction — determining whether the adverse event was reported as occurring before or after drug administration</w:t>
      </w:r>
    </w:p>
    <w:p>
      <w:pPr>
        <w:pStyle w:val="ListParagraph"/>
        <w:numPr>
          <w:ilvl w:val="0"/>
          <w:numId w:val="2"/>
        </w:numPr>
        <w:spacing w:after="60" w:before="60"/>
      </w:pPr>
      <w:r>
        <w:rPr>
          <w:rFonts w:ascii="Arial" w:cs="Arial" w:eastAsia="Arial" w:hAnsi="Arial"/>
          <w:color w:val="1A1A1A"/>
          <w:sz w:val="22"/>
          <w:szCs w:val="22"/>
        </w:rPr>
        <w:t xml:space="preserve">Custom MedDRA mapping layer — standardizing all extracted adverse event terms to MedDRA Preferred Terms for compatibility with FAERS coding</w:t>
      </w:r>
    </w:p>
    <w:p>
      <w:pPr>
        <w:spacing w:after="80" w:before="0"/>
      </w:pPr>
      <w:r>
        <w:t xml:space="preserve"/>
      </w:r>
    </w:p>
    <w:p>
      <w:pPr>
        <w:spacing w:after="120" w:before="80" w:line="280"/>
      </w:pPr>
      <w:r>
        <w:rPr>
          <w:rFonts w:ascii="Arial" w:cs="Arial" w:eastAsia="Arial" w:hAnsi="Arial"/>
          <w:color w:val="1A1A1A"/>
          <w:sz w:val="22"/>
          <w:szCs w:val="22"/>
        </w:rPr>
        <w:t xml:space="preserve">For FAERS structured data: parse the seven quarterly ASCII tables, apply the AEOLUS de-duplication algorithm (removing case duplicates using a four-field demographic key), and join tables on primaryid to produce one row per unique case with complete demographics, drug exposure, and adverse event.</w:t>
      </w:r>
    </w:p>
    <w:p>
      <w:pPr>
        <w:spacing w:after="120" w:before="0"/>
      </w:pPr>
      <w:r>
        <w:t xml:space="preserve"/>
      </w:r>
    </w:p>
    <w:p>
      <w:pPr>
        <w:pStyle w:val="Heading2"/>
        <w:spacing w:after="140" w:before="280"/>
      </w:pPr>
      <w:r>
        <w:rPr>
          <w:rFonts w:ascii="Arial" w:cs="Arial" w:eastAsia="Arial" w:hAnsi="Arial"/>
          <w:b/>
          <w:bCs/>
          <w:color w:val="2E75B6"/>
          <w:sz w:val="28"/>
          <w:szCs w:val="28"/>
        </w:rPr>
        <w:t xml:space="preserve">4.3  Layer 3 — Causal Inference Engine (Core Novelty)</w:t>
      </w:r>
    </w:p>
    <w:p>
      <w:pPr>
        <w:spacing w:after="120" w:before="80" w:line="280"/>
      </w:pPr>
      <w:r>
        <w:rPr>
          <w:rFonts w:ascii="Arial" w:cs="Arial" w:eastAsia="Arial" w:hAnsi="Arial"/>
          <w:color w:val="1A1A1A"/>
          <w:sz w:val="22"/>
          <w:szCs w:val="22"/>
        </w:rPr>
        <w:t xml:space="preserve">This layer is what distinguishes the system from all prior work. The causal inference pipeline operates on the structured FAERS data for a specified drug-event pair of interest.</w:t>
      </w:r>
    </w:p>
    <w:p>
      <w:pPr>
        <w:spacing w:after="80" w:before="0"/>
      </w:pPr>
      <w:r>
        <w:t xml:space="preserve"/>
      </w:r>
    </w:p>
    <w:p>
      <w:pPr>
        <w:pStyle w:val="Heading3"/>
        <w:spacing w:after="100" w:before="200"/>
      </w:pPr>
      <w:r>
        <w:rPr>
          <w:rFonts w:ascii="Arial" w:cs="Arial" w:eastAsia="Arial" w:hAnsi="Arial"/>
          <w:b/>
          <w:bCs/>
          <w:color w:val="404040"/>
          <w:sz w:val="24"/>
          <w:szCs w:val="24"/>
        </w:rPr>
        <w:t xml:space="preserve">Step 1 — DAG Definition</w:t>
      </w:r>
    </w:p>
    <w:p>
      <w:pPr>
        <w:spacing w:after="120" w:before="80" w:line="280"/>
      </w:pPr>
      <w:r>
        <w:rPr>
          <w:rFonts w:ascii="Arial" w:cs="Arial" w:eastAsia="Arial" w:hAnsi="Arial"/>
          <w:color w:val="1A1A1A"/>
          <w:sz w:val="22"/>
          <w:szCs w:val="22"/>
        </w:rPr>
        <w:t xml:space="preserve">Define the causal graph using domain knowledge: Drug_Exposure -&gt; ADR, with confounders including Patient_Age, Sex, Comorbidity_Score, Concomitant_Drug_Count, Reporter_Type, Report_Year. The DAG is specified using DoWhy's graph specification language (or equivalently as a networkx DiGraph).</w:t>
      </w:r>
    </w:p>
    <w:p>
      <w:pPr>
        <w:spacing w:after="60" w:before="0"/>
      </w:pPr>
      <w:r>
        <w:t xml:space="preserve"/>
      </w:r>
    </w:p>
    <w:p>
      <w:pPr>
        <w:pStyle w:val="Heading3"/>
        <w:spacing w:after="100" w:before="200"/>
      </w:pPr>
      <w:r>
        <w:rPr>
          <w:rFonts w:ascii="Arial" w:cs="Arial" w:eastAsia="Arial" w:hAnsi="Arial"/>
          <w:b/>
          <w:bCs/>
          <w:color w:val="404040"/>
          <w:sz w:val="24"/>
          <w:szCs w:val="24"/>
        </w:rPr>
        <w:t xml:space="preserve">Step 2 — Propensity Score Estimation</w:t>
      </w:r>
    </w:p>
    <w:p>
      <w:pPr>
        <w:spacing w:after="120" w:before="80" w:line="280"/>
      </w:pPr>
      <w:r>
        <w:rPr>
          <w:rFonts w:ascii="Arial" w:cs="Arial" w:eastAsia="Arial" w:hAnsi="Arial"/>
          <w:color w:val="1A1A1A"/>
          <w:sz w:val="22"/>
          <w:szCs w:val="22"/>
        </w:rPr>
        <w:t xml:space="preserve">Use a gradient-boosted classifier (LightGBM) to estimate P(Drug_Exposure = 1 | Covariates) — the probability that a given patient took the drug of interest, given their demographic and clinical profile. This propensity score is then used for Inverse Probability of Treatment Weighting (IPTW) to create a pseudo-population where drug assignment is independent of confounders.</w:t>
      </w:r>
    </w:p>
    <w:p>
      <w:pPr>
        <w:spacing w:after="60" w:before="0"/>
      </w:pPr>
      <w:r>
        <w:t xml:space="preserve"/>
      </w:r>
    </w:p>
    <w:p>
      <w:pPr>
        <w:pStyle w:val="Heading3"/>
        <w:spacing w:after="100" w:before="200"/>
      </w:pPr>
      <w:r>
        <w:rPr>
          <w:rFonts w:ascii="Arial" w:cs="Arial" w:eastAsia="Arial" w:hAnsi="Arial"/>
          <w:b/>
          <w:bCs/>
          <w:color w:val="404040"/>
          <w:sz w:val="24"/>
          <w:szCs w:val="24"/>
        </w:rPr>
        <w:t xml:space="preserve">Step 3 — Causal Effect Estimation</w:t>
      </w:r>
    </w:p>
    <w:p>
      <w:pPr>
        <w:spacing w:after="120" w:before="80" w:line="280"/>
      </w:pPr>
      <w:r>
        <w:rPr>
          <w:rFonts w:ascii="Arial" w:cs="Arial" w:eastAsia="Arial" w:hAnsi="Arial"/>
          <w:color w:val="1A1A1A"/>
          <w:sz w:val="22"/>
          <w:szCs w:val="22"/>
        </w:rPr>
        <w:t xml:space="preserve">Apply the Double Machine Learning (DML) estimator from EconML. DML uses one model to partial out the confounders from the treatment, another to partial out the confounders from the outcome, and then estimates the causal effect as the coefficient in a regression of the outcome residuals on the treatment residuals. This produces an unbiased causal effect estimate even when the confounders are high-dimensional.</w:t>
      </w:r>
    </w:p>
    <w:p>
      <w:pPr>
        <w:spacing w:after="60" w:before="0"/>
      </w:pPr>
      <w:r>
        <w:t xml:space="preserve"/>
      </w:r>
    </w:p>
    <w:p>
      <w:pPr>
        <w:pStyle w:val="Heading3"/>
        <w:spacing w:after="100" w:before="200"/>
      </w:pPr>
      <w:r>
        <w:rPr>
          <w:rFonts w:ascii="Arial" w:cs="Arial" w:eastAsia="Arial" w:hAnsi="Arial"/>
          <w:b/>
          <w:bCs/>
          <w:color w:val="404040"/>
          <w:sz w:val="24"/>
          <w:szCs w:val="24"/>
        </w:rPr>
        <w:t xml:space="preserve">Step 4 — Refutation Tests</w:t>
      </w:r>
    </w:p>
    <w:p>
      <w:pPr>
        <w:spacing w:after="120" w:before="80" w:line="280"/>
      </w:pPr>
      <w:r>
        <w:rPr>
          <w:rFonts w:ascii="Arial" w:cs="Arial" w:eastAsia="Arial" w:hAnsi="Arial"/>
          <w:color w:val="1A1A1A"/>
          <w:sz w:val="22"/>
          <w:szCs w:val="22"/>
        </w:rPr>
        <w:t xml:space="preserve">DoWhy's built-in refutation suite runs three validation checks: (1) Random Common Cause — adds a random variable as a confounder and confirms the estimated effect does not change significantly; (2) Placebo Treatment — replaces the actual treatment with a random permutation and confirms the effect collapses to zero; (3) Data Subset Refuter — confirms the effect is stable across random 80% subsets of the data. A signal that passes all three refutation tests has strong evidence of being causal rather than spurious.</w:t>
      </w:r>
    </w:p>
    <w:p>
      <w:pPr>
        <w:spacing w:after="120" w:before="0"/>
      </w:pPr>
      <w:r>
        <w:t xml:space="preserve"/>
      </w:r>
    </w:p>
    <w:p>
      <w:pPr>
        <w:pStyle w:val="Heading2"/>
        <w:spacing w:after="140" w:before="280"/>
      </w:pPr>
      <w:r>
        <w:rPr>
          <w:rFonts w:ascii="Arial" w:cs="Arial" w:eastAsia="Arial" w:hAnsi="Arial"/>
          <w:b/>
          <w:bCs/>
          <w:color w:val="2E75B6"/>
          <w:sz w:val="28"/>
          <w:szCs w:val="28"/>
        </w:rPr>
        <w:t xml:space="preserve">4.4  Layer 4 — Multi-Task Signal Scorer</w:t>
      </w:r>
    </w:p>
    <w:p>
      <w:pPr>
        <w:spacing w:after="120" w:before="80" w:line="280"/>
      </w:pPr>
      <w:r>
        <w:rPr>
          <w:rFonts w:ascii="Arial" w:cs="Arial" w:eastAsia="Arial" w:hAnsi="Arial"/>
          <w:color w:val="1A1A1A"/>
          <w:sz w:val="22"/>
          <w:szCs w:val="22"/>
        </w:rPr>
        <w:t xml:space="preserve">Rather than outputting a binary signal / no-signal decision, the system trains a multi-task neural network that simultaneously predicts four properties of each drug-event pair: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Type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 causal probability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P(causal) from 0 to 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Causal DML estimate + confidence interval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signal strength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Severity classification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Serious / Non-serious / Fatal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Multi-class classifier (BioBERT fine-tuned)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Prioritizes urgent signals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Time-to-onset pattern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Early failure / Random / Wear-out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Weibull survival model (Lifelines)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Guides monitoring timelines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Drug-drug interaction flag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Interaction amplification ratio</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Conditional effect estimator (EconML)</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Identifies combination risks</w:t>
            </w:r>
          </w:p>
        </w:tc>
      </w:tr>
    </w:tbl>
    <w:p>
      <w:pPr>
        <w:spacing w:after="80" w:before="0"/>
      </w:pPr>
      <w:r>
        <w:t xml:space="preserve"/>
      </w:r>
    </w:p>
    <w:p>
      <w:pPr>
        <w:spacing w:after="120" w:before="80" w:line="280"/>
      </w:pPr>
      <w:r>
        <w:rPr>
          <w:rFonts w:ascii="Arial" w:cs="Arial" w:eastAsia="Arial" w:hAnsi="Arial"/>
          <w:color w:val="1A1A1A"/>
          <w:sz w:val="22"/>
          <w:szCs w:val="22"/>
        </w:rPr>
        <w:t xml:space="preserve">The multi-task architecture shares a common representation layer across all four tasks, which means signal patterns that are useful for detecting severity are also informative for time-to-onset classification. This transfer learning within the network is itself a research contribution — it is the specific 'multitask learning gap' identified in the 2025 PMC scoping review literature.</w:t>
      </w:r>
    </w:p>
    <w:p>
      <w:pPr>
        <w:spacing w:after="120" w:before="0"/>
      </w:pPr>
      <w:r>
        <w:t xml:space="preserve"/>
      </w:r>
    </w:p>
    <w:p>
      <w:pPr>
        <w:pStyle w:val="Heading2"/>
        <w:spacing w:after="140" w:before="280"/>
      </w:pPr>
      <w:r>
        <w:rPr>
          <w:rFonts w:ascii="Arial" w:cs="Arial" w:eastAsia="Arial" w:hAnsi="Arial"/>
          <w:b/>
          <w:bCs/>
          <w:color w:val="2E75B6"/>
          <w:sz w:val="28"/>
          <w:szCs w:val="28"/>
        </w:rPr>
        <w:t xml:space="preserve">4.5  Layer 5 — Federated Aggregation + LLM Report Generation</w:t>
      </w:r>
    </w:p>
    <w:p>
      <w:pPr>
        <w:spacing w:after="120" w:before="80" w:line="280"/>
      </w:pPr>
      <w:r>
        <w:rPr>
          <w:rFonts w:ascii="Arial" w:cs="Arial" w:eastAsia="Arial" w:hAnsi="Arial"/>
          <w:color w:val="1A1A1A"/>
          <w:sz w:val="22"/>
          <w:szCs w:val="22"/>
        </w:rPr>
        <w:t xml:space="preserve">In the federated configuration, Layers 1 through 4 run independently on each institutional node (simulated in the prototype as separate Docker containers or Python processes, each receiving a different subsample of FAERS data). The Flower (flwr) library orchestrates model weight exchange using FedAvg aggregation with Differential Privacy noise injection (via Opacus) before transmission.</w:t>
      </w:r>
    </w:p>
    <w:p>
      <w:pPr>
        <w:spacing w:after="80" w:before="0"/>
      </w:pPr>
      <w:r>
        <w:t xml:space="preserve"/>
      </w:r>
    </w:p>
    <w:p>
      <w:pPr>
        <w:spacing w:after="120" w:before="80" w:line="280"/>
      </w:pPr>
      <w:r>
        <w:rPr>
          <w:rFonts w:ascii="Arial" w:cs="Arial" w:eastAsia="Arial" w:hAnsi="Arial"/>
          <w:color w:val="1A1A1A"/>
          <w:sz w:val="22"/>
          <w:szCs w:val="22"/>
        </w:rPr>
        <w:t xml:space="preserve">The final output is not a table of numbers. An LLM (Claude API or locally-run Mistral-7B) synthesizes all upstream findings into a structured safety signal narrative report in the format required by regulatory agencies: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E75B6" w:sz="12"/>
              <w:left w:val="single" w:color="1F4E79" w:sz="18"/>
              <w:bottom w:val="nil"/>
              <w:right w:val="nil"/>
            </w:tcBorders>
            <w:shd w:fill="DAEEF3"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Example LLM-Generated Safety Signal Report Output</w:t>
            </w:r>
          </w:p>
          <w:p>
            <w:pPr>
              <w:spacing w:after="0" w:before="0"/>
            </w:pPr>
            <w:r>
              <w:rPr>
                <w:rFonts w:ascii="Arial" w:cs="Arial" w:eastAsia="Arial" w:hAnsi="Arial"/>
                <w:color w:val="1A1A1A"/>
                <w:sz w:val="22"/>
                <w:szCs w:val="22"/>
              </w:rPr>
              <w:t xml:space="preserve">DRUG: Atorvastatin  |  EVENT: Rhabdomyolysis  |  SIGNAL STATUS: Confirmed
Causal Effect: Estimated 2.3x increased risk (95% CI: 1.8x-2.9x) after propensity score adjustment for age, comorbidities, and concomitant medications. All three DoWhy refutation tests passed.
Signal Confirmation: ROR=4.1 (disproportionality), confirmed by 17 PubMed citations with consistent mechanistic evidence.
Severity: Serious in 34% of cases; 2 fatal outcomes in dataset.
Time-to-Onset: Peaks at 14-30 days post-initiation (early failure pattern). Intensifies 3.1x with concurrent use of cyclosporine.
Recommendation: Expedited clinical review. Consider label update for concomitant cyclosporine use.</w:t>
            </w:r>
          </w:p>
        </w:tc>
      </w:tr>
    </w:tbl>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5. Complete Technology Stack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Library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ingestion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openFDA REST API, AEOLUS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Pull FAERS structured reports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Literature NLP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BioBERT, SciSpaCy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HF transformers 4.x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Drug-ADR extraction from PubMed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NER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en_ner_bc5cdr_md (SciSpaCy)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Chemical and disease entity recognition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Causal inference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DoWhy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0.11.x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DAG modeling, causal estimation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Causal estimator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EconML (DML)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0.15.x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Double ML causal effect estimation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Propensity scoring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LightGBM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P(treatment | covariates) estimation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Multi-task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PyTorch + HuggingFace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2.x / 4.x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Joint prediction across four tasks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Survival analysis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Lifelines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0.28.x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Weibull time-to-onset modeling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Federated learning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Flower (flwr)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 orchestration with FedAvg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Differential privacy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Opacus (PyTorch-native DP)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Gradient noise injection for GDPR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report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API / Mistral-7B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narrative synthesis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FastAPI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0.11x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 endpoints for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MongoDB + MySQL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7.x / 8.x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Semi-structured + structured FAERS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Streamlit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1.3x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Interactive signal exploration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Compose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Simulate federated hospital nodes</w:t>
            </w:r>
          </w:p>
        </w:tc>
      </w:tr>
    </w:tbl>
    <w:p>
      <w:pPr>
        <w:spacing w:after="120" w:before="0"/>
      </w:pPr>
      <w:r>
        <w:t xml:space="preserve"/>
      </w:r>
    </w:p>
    <w:p>
      <w:pPr>
        <w:pStyle w:val="Heading2"/>
        <w:spacing w:after="140" w:before="280"/>
      </w:pPr>
      <w:r>
        <w:rPr>
          <w:rFonts w:ascii="Arial" w:cs="Arial" w:eastAsia="Arial" w:hAnsi="Arial"/>
          <w:b/>
          <w:bCs/>
          <w:color w:val="2E75B6"/>
          <w:sz w:val="28"/>
          <w:szCs w:val="28"/>
        </w:rPr>
        <w:t xml:space="preserve">5.1  Public Datasets — No Procurement Needed</w:t>
      </w:r>
    </w:p>
    <w:p>
      <w:pPr>
        <w:spacing w:after="6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FAERS: https://open.fda.gov/data/faers/ — quarterly ASCII downloads from 2004 onwards, or via REST API</w:t>
      </w:r>
    </w:p>
    <w:p>
      <w:pPr>
        <w:pStyle w:val="ListParagraph"/>
        <w:numPr>
          <w:ilvl w:val="0"/>
          <w:numId w:val="2"/>
        </w:numPr>
        <w:spacing w:after="60" w:before="60"/>
      </w:pPr>
      <w:r>
        <w:rPr>
          <w:rFonts w:ascii="Arial" w:cs="Arial" w:eastAsia="Arial" w:hAnsi="Arial"/>
          <w:color w:val="1A1A1A"/>
          <w:sz w:val="22"/>
          <w:szCs w:val="22"/>
        </w:rPr>
        <w:t xml:space="preserve">AEOLUS: https://github.com/OHDSI/AEOLUS — pre-curated, de-duplicated FAERS with standardized vocabularies</w:t>
      </w:r>
    </w:p>
    <w:p>
      <w:pPr>
        <w:pStyle w:val="ListParagraph"/>
        <w:numPr>
          <w:ilvl w:val="0"/>
          <w:numId w:val="2"/>
        </w:numPr>
        <w:spacing w:after="60" w:before="60"/>
      </w:pPr>
      <w:r>
        <w:rPr>
          <w:rFonts w:ascii="Arial" w:cs="Arial" w:eastAsia="Arial" w:hAnsi="Arial"/>
          <w:color w:val="1A1A1A"/>
          <w:sz w:val="22"/>
          <w:szCs w:val="22"/>
        </w:rPr>
        <w:t xml:space="preserve">PubMed via NCBI E-utilities API: https://eutils.ncbi.nlm.nih.gov — access 21M+ biomedical abstracts</w:t>
      </w:r>
    </w:p>
    <w:p>
      <w:pPr>
        <w:pStyle w:val="ListParagraph"/>
        <w:numPr>
          <w:ilvl w:val="0"/>
          <w:numId w:val="2"/>
        </w:numPr>
        <w:spacing w:after="60" w:before="60"/>
      </w:pPr>
      <w:r>
        <w:rPr>
          <w:rFonts w:ascii="Arial" w:cs="Arial" w:eastAsia="Arial" w:hAnsi="Arial"/>
          <w:color w:val="1A1A1A"/>
          <w:sz w:val="22"/>
          <w:szCs w:val="22"/>
        </w:rPr>
        <w:t xml:space="preserve">DrugBank: https://go.drugbank.com/releases/latest — free academic license download</w:t>
      </w:r>
    </w:p>
    <w:p>
      <w:pPr>
        <w:pStyle w:val="ListParagraph"/>
        <w:numPr>
          <w:ilvl w:val="0"/>
          <w:numId w:val="2"/>
        </w:numPr>
        <w:spacing w:after="60" w:before="60"/>
      </w:pPr>
      <w:r>
        <w:rPr>
          <w:rFonts w:ascii="Arial" w:cs="Arial" w:eastAsia="Arial" w:hAnsi="Arial"/>
          <w:color w:val="1A1A1A"/>
          <w:sz w:val="22"/>
          <w:szCs w:val="22"/>
        </w:rPr>
        <w:t xml:space="preserve">SIDER: http://sideeffects.embl.de — known side effects database, used as ground truth labels</w:t>
      </w:r>
    </w:p>
    <w:p>
      <w:pPr>
        <w:pStyle w:val="ListParagraph"/>
        <w:numPr>
          <w:ilvl w:val="0"/>
          <w:numId w:val="2"/>
        </w:numPr>
        <w:spacing w:after="60" w:before="60"/>
      </w:pPr>
      <w:r>
        <w:rPr>
          <w:rFonts w:ascii="Arial" w:cs="Arial" w:eastAsia="Arial" w:hAnsi="Arial"/>
          <w:color w:val="1A1A1A"/>
          <w:sz w:val="22"/>
          <w:szCs w:val="22"/>
        </w:rPr>
        <w:t xml:space="preserve">MIMIC-III: https://physionet.org/content/mimiciii/ — free academic EHR dataset for advanced validation (requires credentialing)</w:t>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6. Prototype Implementation Roadmap</w:t>
      </w:r>
    </w:p>
    <w:p>
      <w:pPr>
        <w:spacing w:after="120" w:before="80" w:line="280"/>
      </w:pPr>
      <w:r>
        <w:rPr>
          <w:rFonts w:ascii="Arial" w:cs="Arial" w:eastAsia="Arial" w:hAnsi="Arial"/>
          <w:color w:val="1A1A1A"/>
          <w:sz w:val="22"/>
          <w:szCs w:val="22"/>
        </w:rPr>
        <w:t xml:space="preserve">The following phased roadmap structures the build for a hackathon timeframe. Each phase produces a functional, demonstrable artifact — so if time runs out, you always have something to show.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500"/>
        <w:gridCol w:w="31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Judges See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Data Pipeline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FAERS ingestion, AEOLUS loading, basic ROR/PRR baseline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Working data pipeline with signal comparison baseline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2: Causal Engine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2-3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DoWhy DAG + propensity scoring + DML estimator on one drug-event pair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Causal vs correlation comparison on real data — the core novelty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 Multi-task Scorer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Severity + time-to-onset models on top of causal estimate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Richer signal output than any existing system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4: LLM Report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3-4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Automated regulatory narrative generation from pipeline output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Live demo: input drug name, receive formatted safety report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 Federated Simulation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4 (stretch)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Docker nodes with Flower FL + Opacus DP, aggregated global model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Federation across simulated hospital nodes — the research headline</w:t>
            </w:r>
          </w:p>
        </w:tc>
      </w:tr>
    </w:tbl>
    <w:p>
      <w:pPr>
        <w:spacing w:after="120" w:before="0"/>
      </w:pPr>
      <w:r>
        <w:t xml:space="preserve"/>
      </w:r>
    </w:p>
    <w:p>
      <w:pPr>
        <w:pStyle w:val="Heading2"/>
        <w:spacing w:after="140" w:before="280"/>
      </w:pPr>
      <w:r>
        <w:rPr>
          <w:rFonts w:ascii="Arial" w:cs="Arial" w:eastAsia="Arial" w:hAnsi="Arial"/>
          <w:b/>
          <w:bCs/>
          <w:color w:val="2E75B6"/>
          <w:sz w:val="28"/>
          <w:szCs w:val="28"/>
        </w:rPr>
        <w:t xml:space="preserve">6.1  Demonstration Script (for Judges)</w:t>
      </w:r>
    </w:p>
    <w:p>
      <w:pPr>
        <w:spacing w:after="120" w:before="80" w:line="280"/>
      </w:pPr>
      <w:r>
        <w:rPr>
          <w:rFonts w:ascii="Arial" w:cs="Arial" w:eastAsia="Arial" w:hAnsi="Arial"/>
          <w:color w:val="1A1A1A"/>
          <w:sz w:val="22"/>
          <w:szCs w:val="22"/>
        </w:rPr>
        <w:t xml:space="preserve">The live demo proceeds in three 90-second segments:</w:t>
      </w:r>
    </w:p>
    <w:p>
      <w:pPr>
        <w:spacing w:after="6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Input: Enter 'Atorvastatin' as the drug and 'Rhabdomyolysis' as the adverse event. Show the traditional ROR score (correlation-only). Then run the causal pipeline. Show that the causal effect estimate is lower than ROR suggests — because confounders like statin indication and concomitant cyclosporine use are now controlled for. This concretely demonstrates the difference between correlation and causation on real data.</w:t>
      </w:r>
    </w:p>
    <w:p>
      <w:pPr>
        <w:pStyle w:val="ListParagraph"/>
        <w:numPr>
          <w:ilvl w:val="0"/>
          <w:numId w:val="3"/>
        </w:numPr>
        <w:spacing w:after="60" w:before="60"/>
      </w:pPr>
      <w:r>
        <w:rPr>
          <w:rFonts w:ascii="Arial" w:cs="Arial" w:eastAsia="Arial" w:hAnsi="Arial"/>
          <w:color w:val="1A1A1A"/>
          <w:sz w:val="22"/>
          <w:szCs w:val="22"/>
        </w:rPr>
        <w:t xml:space="preserve">Output: Show the multi-task signal card — causal probability, severity classification, time-to-onset Weibull curve, and drug-drug interaction amplification flag. Each element corresponds to a question a real pharmacovigilance team would ask. Emphasize none of the existing open-source systems produce this output.</w:t>
      </w:r>
    </w:p>
    <w:p>
      <w:pPr>
        <w:pStyle w:val="ListParagraph"/>
        <w:numPr>
          <w:ilvl w:val="0"/>
          <w:numId w:val="3"/>
        </w:numPr>
        <w:spacing w:after="60" w:before="60"/>
      </w:pPr>
      <w:r>
        <w:rPr>
          <w:rFonts w:ascii="Arial" w:cs="Arial" w:eastAsia="Arial" w:hAnsi="Arial"/>
          <w:color w:val="1A1A1A"/>
          <w:sz w:val="22"/>
          <w:szCs w:val="22"/>
        </w:rPr>
        <w:t xml:space="preserve">Federated: Show the three simulated hospital nodes (Docker containers), each training on a subsample of FAERS data. Show FedAvg aggregation. Show that the federated model detects the same signal as the centralized model while no raw data ever leaves any node. Pull up the Differential Privacy noise injection log. This is the regulatory compliance demonstration.</w:t>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7. Why This Problem Statement Wins at National Level</w:t>
      </w:r>
    </w:p>
    <w:p>
      <w:pPr>
        <w:pStyle w:val="Heading2"/>
        <w:spacing w:after="140" w:before="280"/>
      </w:pPr>
      <w:r>
        <w:rPr>
          <w:rFonts w:ascii="Arial" w:cs="Arial" w:eastAsia="Arial" w:hAnsi="Arial"/>
          <w:b/>
          <w:bCs/>
          <w:color w:val="2E75B6"/>
          <w:sz w:val="28"/>
          <w:szCs w:val="28"/>
        </w:rPr>
        <w:t xml:space="preserve">7.1  Domain Differentiation</w:t>
      </w:r>
    </w:p>
    <w:p>
      <w:pPr>
        <w:spacing w:after="120" w:before="80" w:line="280"/>
      </w:pPr>
      <w:r>
        <w:rPr>
          <w:rFonts w:ascii="Arial" w:cs="Arial" w:eastAsia="Arial" w:hAnsi="Arial"/>
          <w:color w:val="1A1A1A"/>
          <w:sz w:val="22"/>
          <w:szCs w:val="22"/>
        </w:rPr>
        <w:t xml:space="preserve">Almost no CS undergraduate team will submit a pharmacovigilance project. The moment you use the term in your pitch, you have separated yourself from 90% of submissions. Every other team will be doing fraud detection dashboards, recommendation systems, or predictive maintenance — all of which the judges have seen repeatedly. A causally-grounded drug safety system with regulatory compliance architecture is genuinely unusual at the undergraduate level.</w:t>
      </w:r>
    </w:p>
    <w:p>
      <w:pPr>
        <w:spacing w:after="100" w:before="0"/>
      </w:pPr>
      <w:r>
        <w:t xml:space="preserve"/>
      </w:r>
    </w:p>
    <w:p>
      <w:pPr>
        <w:pStyle w:val="Heading2"/>
        <w:spacing w:after="140" w:before="280"/>
      </w:pPr>
      <w:r>
        <w:rPr>
          <w:rFonts w:ascii="Arial" w:cs="Arial" w:eastAsia="Arial" w:hAnsi="Arial"/>
          <w:b/>
          <w:bCs/>
          <w:color w:val="2E75B6"/>
          <w:sz w:val="28"/>
          <w:szCs w:val="28"/>
        </w:rPr>
        <w:t xml:space="preserve">7.2  Research Paper Backing</w:t>
      </w:r>
    </w:p>
    <w:p>
      <w:pPr>
        <w:spacing w:after="120" w:before="80" w:line="280"/>
      </w:pPr>
      <w:r>
        <w:rPr>
          <w:rFonts w:ascii="Arial" w:cs="Arial" w:eastAsia="Arial" w:hAnsi="Arial"/>
          <w:color w:val="1A1A1A"/>
          <w:sz w:val="22"/>
          <w:szCs w:val="22"/>
        </w:rPr>
        <w:t xml:space="preserve">You can directly cite three 2025 peer-reviewed papers that call for exactly what you are building:</w:t>
      </w:r>
    </w:p>
    <w:p>
      <w:pPr>
        <w:spacing w:after="6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Frontiers in Drug Safety and Regulation (May 2025) — FDA, EMA, Swissmedic, DKMA joint paper on federated learning for regulatory pharmacovigilance</w:t>
      </w:r>
    </w:p>
    <w:p>
      <w:pPr>
        <w:pStyle w:val="ListParagraph"/>
        <w:numPr>
          <w:ilvl w:val="0"/>
          <w:numId w:val="2"/>
        </w:numPr>
        <w:spacing w:after="60" w:before="60"/>
      </w:pPr>
      <w:r>
        <w:rPr>
          <w:rFonts w:ascii="Arial" w:cs="Arial" w:eastAsia="Arial" w:hAnsi="Arial"/>
          <w:color w:val="1A1A1A"/>
          <w:sz w:val="22"/>
          <w:szCs w:val="22"/>
        </w:rPr>
        <w:t xml:space="preserve">International Journal of Clinical Pharmacy / Springer Nature (2025) — identifies four research priorities including causal inference integration as the top gap</w:t>
      </w:r>
    </w:p>
    <w:p>
      <w:pPr>
        <w:pStyle w:val="ListParagraph"/>
        <w:numPr>
          <w:ilvl w:val="0"/>
          <w:numId w:val="2"/>
        </w:numPr>
        <w:spacing w:after="60" w:before="60"/>
      </w:pPr>
      <w:r>
        <w:rPr>
          <w:rFonts w:ascii="Arial" w:cs="Arial" w:eastAsia="Arial" w:hAnsi="Arial"/>
          <w:color w:val="1A1A1A"/>
          <w:sz w:val="22"/>
          <w:szCs w:val="22"/>
        </w:rPr>
        <w:t xml:space="preserve">Drug Safety / Springer Nature (2025) — confirms 'AI models should go beyond correlation-based approaches by integrating causal inference techniques' as future direction</w:t>
      </w:r>
    </w:p>
    <w:p>
      <w:pPr>
        <w:spacing w:after="80" w:before="0"/>
      </w:pPr>
      <w:r>
        <w:t xml:space="preserve"/>
      </w:r>
    </w:p>
    <w:p>
      <w:pPr>
        <w:spacing w:after="120" w:before="80" w:line="280"/>
      </w:pPr>
      <w:r>
        <w:rPr>
          <w:rFonts w:ascii="Arial" w:cs="Arial" w:eastAsia="Arial" w:hAnsi="Arial"/>
          <w:color w:val="1A1A1A"/>
          <w:sz w:val="22"/>
          <w:szCs w:val="22"/>
        </w:rPr>
        <w:t xml:space="preserve">Telling a judge that your approach directly addresses research priorities identified in three 2025 Springer Nature papers is a level of credibility that almost no hackathon team achieves. It signals that you know the field deeply enough to understand where the frontier is.</w:t>
      </w:r>
    </w:p>
    <w:p>
      <w:pPr>
        <w:spacing w:after="100" w:before="0"/>
      </w:pPr>
      <w:r>
        <w:t xml:space="preserve"/>
      </w:r>
    </w:p>
    <w:p>
      <w:pPr>
        <w:pStyle w:val="Heading2"/>
        <w:spacing w:after="140" w:before="280"/>
      </w:pPr>
      <w:r>
        <w:rPr>
          <w:rFonts w:ascii="Arial" w:cs="Arial" w:eastAsia="Arial" w:hAnsi="Arial"/>
          <w:b/>
          <w:bCs/>
          <w:color w:val="2E75B6"/>
          <w:sz w:val="28"/>
          <w:szCs w:val="28"/>
        </w:rPr>
        <w:t xml:space="preserve">7.3  Cognizant Business Relevance</w:t>
      </w:r>
    </w:p>
    <w:p>
      <w:pPr>
        <w:spacing w:after="120" w:before="80" w:line="280"/>
      </w:pPr>
      <w:r>
        <w:rPr>
          <w:rFonts w:ascii="Arial" w:cs="Arial" w:eastAsia="Arial" w:hAnsi="Arial"/>
          <w:color w:val="1A1A1A"/>
          <w:sz w:val="22"/>
          <w:szCs w:val="22"/>
        </w:rPr>
        <w:t xml:space="preserve">Cognizant operates pharmacovigilance services for major global pharmaceutical companies as a core business line. This is not a theoretical problem — it is a service Cognizant sells to paying clients including major pharma companies. A working prototype that demonstrably outperforms traditional disproportionality analysis using open data will land directly in the domain of Cognizant's existing client deliverables.</w:t>
      </w:r>
    </w:p>
    <w:p>
      <w:pPr>
        <w:spacing w:after="100" w:before="0"/>
      </w:pPr>
      <w:r>
        <w:t xml:space="preserve"/>
      </w:r>
    </w:p>
    <w:p>
      <w:pPr>
        <w:pStyle w:val="Heading2"/>
        <w:spacing w:after="140" w:before="280"/>
      </w:pPr>
      <w:r>
        <w:rPr>
          <w:rFonts w:ascii="Arial" w:cs="Arial" w:eastAsia="Arial" w:hAnsi="Arial"/>
          <w:b/>
          <w:bCs/>
          <w:color w:val="2E75B6"/>
          <w:sz w:val="28"/>
          <w:szCs w:val="28"/>
        </w:rPr>
        <w:t xml:space="preserve">7.4  Technical Stack Maturity</w:t>
      </w:r>
    </w:p>
    <w:p>
      <w:pPr>
        <w:spacing w:after="120" w:before="80" w:line="280"/>
      </w:pPr>
      <w:r>
        <w:rPr>
          <w:rFonts w:ascii="Arial" w:cs="Arial" w:eastAsia="Arial" w:hAnsi="Arial"/>
          <w:color w:val="1A1A1A"/>
          <w:sz w:val="22"/>
          <w:szCs w:val="22"/>
        </w:rPr>
        <w:t xml:space="preserve">Every tool in this stack is production-ready, open-source, and actively maintained. DoWhy and EconML are Microsoft Research projects with active communities. Flower is used by Google, Meta, and major hospital networks for production FL. BioBERT and SciSpaCy are the industry standards for biomedical NLP. The system is implementable by a team with Python proficiency — no specialized hardware, no proprietary APIs, no paid data.</w:t>
      </w:r>
    </w:p>
    <w:p>
      <w:pPr>
        <w:spacing w:after="100" w:before="0"/>
      </w:pPr>
      <w:r>
        <w:t xml:space="preserve"/>
      </w:r>
    </w:p>
    <w:p>
      <w:pPr>
        <w:pStyle w:val="Heading2"/>
        <w:spacing w:after="140" w:before="280"/>
      </w:pPr>
      <w:r>
        <w:rPr>
          <w:rFonts w:ascii="Arial" w:cs="Arial" w:eastAsia="Arial" w:hAnsi="Arial"/>
          <w:b/>
          <w:bCs/>
          <w:color w:val="2E75B6"/>
          <w:sz w:val="28"/>
          <w:szCs w:val="28"/>
        </w:rPr>
        <w:t xml:space="preserve">7.5  The $170 Billion Headline Number</w:t>
      </w:r>
    </w:p>
    <w:p>
      <w:pPr>
        <w:spacing w:after="120" w:before="80" w:line="280"/>
      </w:pPr>
      <w:r>
        <w:rPr>
          <w:rFonts w:ascii="Arial" w:cs="Arial" w:eastAsia="Arial" w:hAnsi="Arial"/>
          <w:color w:val="1A1A1A"/>
          <w:sz w:val="22"/>
          <w:szCs w:val="22"/>
        </w:rPr>
        <w:t xml:space="preserve">Your opening slide has one number on it: $170,000,000,000. That is the annual cost of drug-related morbidity and mortality in the United States. Your system is a direct attack on that number by improving the accuracy and speed with which dangerous drug-event associations are detected. No further justification for problem significance is required.</w:t>
      </w:r>
    </w:p>
    <w:p>
      <w:pPr>
        <w:pBdr>
          <w:bottom w:val="single" w:color="CCCCCC" w:sz="2" w:space="1"/>
        </w:pBdr>
        <w:spacing w:after="200" w:before="200"/>
      </w:pPr>
      <w:r>
        <w:t xml:space="preserve"/>
      </w:r>
    </w:p>
    <w:p>
      <w:pPr>
        <w:pStyle w:val="Heading1"/>
        <w:pBdr>
          <w:bottom w:val="single" w:color="2E75B6" w:sz="6" w:space="1"/>
        </w:pBdr>
        <w:spacing w:after="200" w:before="360"/>
      </w:pPr>
      <w:r>
        <w:rPr>
          <w:rFonts w:ascii="Arial" w:cs="Arial" w:eastAsia="Arial" w:hAnsi="Arial"/>
          <w:b/>
          <w:bCs/>
          <w:color w:val="1F4E79"/>
          <w:sz w:val="36"/>
          <w:szCs w:val="36"/>
        </w:rPr>
        <w:t xml:space="preserve">8. Quick Reference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Hackathon track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Life Sciences — Cognizant Technoverse 2026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Core innovation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Causal ML (DoWhy + EconML) replaces disproportionality analysis for drug safety signal detection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mechanism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Federated learning (Flower) + Differential Privacy (Opacus) for GDPR/HIPAA/DISHA compliance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Primary dataset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FAERS — 57M records, fully public, free to download from openFDA.gov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Secondary datasets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AEOLUS, PubMed API, DrugBank, SIDER — all free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 research gap cited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PMC 2025: causal ML-PV integration lagging; Springer 2025: correlation models insufficient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Prototype languages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(primary), Docker (federation simulation), FastAPI (backend)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Demo headline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Input drug name → receive automated regulatory safety signal report with causal evidence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relevance to Cognizant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Cognizant operates PV services for pharma clients — direct alignment with existing service lines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Opening pitch number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$170 billion annual cost of drug-related morbidity and mortality (US)</w:t>
            </w:r>
          </w:p>
        </w:tc>
      </w:tr>
    </w:tbl>
    <w:p>
      <w:pPr>
        <w:spacing w:after="200" w:before="0"/>
      </w:pPr>
      <w:r>
        <w:t xml:space="preserve"/>
      </w:r>
    </w:p>
    <w:p>
      <w:pPr>
        <w:pBdr>
          <w:top w:val="single" w:color="2E75B6" w:sz="4" w:space="1"/>
        </w:pBdr>
        <w:spacing w:after="80" w:before="200"/>
        <w:jc w:val="center"/>
      </w:pPr>
      <w:r>
        <w:rPr>
          <w:rFonts w:ascii="Arial" w:cs="Arial" w:eastAsia="Arial" w:hAnsi="Arial"/>
          <w:color w:val="888888"/>
          <w:sz w:val="18"/>
          <w:szCs w:val="18"/>
        </w:rPr>
        <w:t xml:space="preserve">Abhishek M G  |  Acharya Institute of Technology, Bengaluru  |  GitHub: Abhishek-M-29</w:t>
      </w:r>
    </w:p>
    <w:p>
      <w:pPr>
        <w:jc w:val="center"/>
      </w:pPr>
      <w:r>
        <w:rPr>
          <w:rFonts w:ascii="Arial" w:cs="Arial" w:eastAsia="Arial" w:hAnsi="Arial"/>
          <w:color w:val="888888"/>
          <w:sz w:val="18"/>
          <w:szCs w:val="18"/>
        </w:rPr>
        <w:t xml:space="preserve">Document prepared for Technoverse Hackathon 2026 — Problem Statement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2026-04-12T15:53:09.393Z</dcterms:created>
  <dcterms:modified xsi:type="dcterms:W3CDTF">2026-04-12T15:53:09.395Z</dcterms:modified>
</cp:coreProperties>
</file>

<file path=docProps/custom.xml><?xml version="1.0" encoding="utf-8"?>
<Properties xmlns="http://schemas.openxmlformats.org/officeDocument/2006/custom-properties" xmlns:vt="http://schemas.openxmlformats.org/officeDocument/2006/docPropsVTypes"/>
</file>