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Portfolio Summary</w:t>
      </w:r>
    </w:p>
    <w:p>
      <w:pPr>
        <w:pStyle w:val="Subtitle"/>
        <w:jc w:val="center"/>
      </w:pPr>
      <w:r>
        <w:t>Short review of performance, price weakness, and what may make sense next</w:t>
      </w:r>
    </w:p>
    <w:p>
      <w:pPr>
        <w:spacing w:after="160"/>
        <w:shd w:fill="EEF4FB"/>
      </w:pPr>
      <w:r>
        <w:rPr>
          <w:b/>
        </w:rPr>
        <w:t>Portfolio total: £1,860.18 | Starting value: £1,996.96 | Change: -£136.78 (-6.85%)</w:t>
      </w:r>
    </w:p>
    <w:p>
      <w:pPr>
        <w:pStyle w:val="Heading1"/>
      </w:pPr>
      <w:r>
        <w:t>Current view</w:t>
      </w:r>
    </w:p>
    <w:p>
      <w:r>
        <w:t>The portfolio is under pressure, but it does not look broken. Most of the weakness has come from a broad risk-off move rather than one holding collapsing. The core still makes sense, while the main drag remains the more volatile sleeve, especially IonQ and Symbotic.</w:t>
      </w:r>
    </w:p>
    <w:p>
      <w:pPr>
        <w:pStyle w:val="Heading1"/>
      </w:pPr>
      <w:r>
        <w:t>Why prices fell last week</w:t>
      </w:r>
    </w:p>
    <w:p>
      <w:r>
        <w:t>Markets were hit by geopolitical tension, firmer oil, higher bond yields and weaker confidence that rates will fall quickly. That usually hurts growth stocks, speculative names, REITs and utilities together, which explains the weakness across tech, Nasdaq exposure, Realty Income, NextEra and even gold.</w:t>
      </w:r>
    </w:p>
    <w:p>
      <w:pPr>
        <w:pStyle w:val="Heading1"/>
      </w:pPr>
      <w:r>
        <w:t>What may happen this week</w:t>
      </w:r>
    </w:p>
    <w:p>
      <w:r>
        <w:t>If the White House follows through and markets price in higher oil, stickier inflation and fewer rate cuts, the most likely outcome is more volatility with a negative bias. In that setup, growth names may stay heavy, IonQ and Symbotic could remain the weakest, while Rheinmetall and Berkshire may hold up better than most.</w:t>
      </w:r>
    </w:p>
    <w:p>
      <w:pPr>
        <w:pStyle w:val="Heading1"/>
      </w:pPr>
      <w:r>
        <w:t>What we do from here</w:t>
      </w:r>
    </w:p>
    <w:p>
      <w:r>
        <w:t>The best short-term move is probably to stay disciplined rather than panic. Keep the core holdings under review, avoid averaging down too aggressively, and put the most scrutiny on IonQ and Symbotic if risk needs to come down. If markets stabilise, do little; if pressure worsens, trim weaker-conviction speculative exposure first.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0606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