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single" w:sz="8" w:space="8" w:color="2F75B5"/>
        </w:pBdr>
      </w:pPr>
      <w:r>
        <w:t>Week 7 Portfolio Summary</w:t>
      </w:r>
    </w:p>
    <w:p>
      <w:pPr>
        <w:spacing w:after="120"/>
        <w:jc w:val="center"/>
      </w:pPr>
      <w:r>
        <w:rPr>
          <w:i/>
          <w:color w:val="646464"/>
          <w:sz w:val="19"/>
        </w:rPr>
        <w:t>Week ending April 2026</w:t>
      </w:r>
    </w:p>
    <w:p>
      <w:pPr>
        <w:pStyle w:val="Heading1"/>
      </w:pPr>
      <w:r>
        <w:t>Snapshot</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EAF2F8"/>
          </w:tcPr>
          <w:p>
            <w:pPr>
              <w:spacing w:after="0"/>
            </w:pPr>
            <w:r>
              <w:rPr>
                <w:rFonts w:ascii="Arial" w:hAnsi="Arial" w:eastAsia="Arial"/>
                <w:b/>
                <w:sz w:val="19"/>
              </w:rPr>
              <w:t>Portfolio value</w:t>
            </w:r>
          </w:p>
        </w:tc>
        <w:tc>
          <w:tcPr>
            <w:tcW w:type="dxa" w:w="3024"/>
            <w:vAlign w:val="center"/>
            <w:shd w:fill="FFFFFF"/>
          </w:tcPr>
          <w:p>
            <w:pPr>
              <w:spacing w:after="0"/>
              <w:jc w:val="right"/>
            </w:pPr>
            <w:r>
              <w:rPr>
                <w:rFonts w:ascii="Arial" w:hAnsi="Arial" w:eastAsia="Arial"/>
                <w:b/>
                <w:sz w:val="19"/>
              </w:rPr>
              <w:t>£2,025.84</w:t>
            </w:r>
          </w:p>
        </w:tc>
      </w:tr>
      <w:tr>
        <w:tc>
          <w:tcPr>
            <w:tcW w:type="dxa" w:w="3456"/>
            <w:vAlign w:val="center"/>
            <w:shd w:fill="EAF2F8"/>
          </w:tcPr>
          <w:p>
            <w:pPr>
              <w:spacing w:after="0"/>
            </w:pPr>
            <w:r>
              <w:rPr>
                <w:rFonts w:ascii="Arial" w:hAnsi="Arial" w:eastAsia="Arial"/>
                <w:b/>
                <w:sz w:val="19"/>
              </w:rPr>
              <w:t>Starting cost basis</w:t>
            </w:r>
          </w:p>
        </w:tc>
        <w:tc>
          <w:tcPr>
            <w:tcW w:type="dxa" w:w="3024"/>
            <w:vAlign w:val="center"/>
            <w:shd w:fill="FFFFFF"/>
          </w:tcPr>
          <w:p>
            <w:pPr>
              <w:spacing w:after="0"/>
              <w:jc w:val="right"/>
            </w:pPr>
            <w:r>
              <w:rPr>
                <w:rFonts w:ascii="Arial" w:hAnsi="Arial" w:eastAsia="Arial"/>
                <w:b/>
                <w:sz w:val="19"/>
              </w:rPr>
              <w:t>£1,999</w:t>
            </w:r>
          </w:p>
        </w:tc>
      </w:tr>
      <w:tr>
        <w:tc>
          <w:tcPr>
            <w:tcW w:type="dxa" w:w="3456"/>
            <w:vAlign w:val="center"/>
            <w:shd w:fill="EAF2F8"/>
          </w:tcPr>
          <w:p>
            <w:pPr>
              <w:spacing w:after="0"/>
            </w:pPr>
            <w:r>
              <w:rPr>
                <w:rFonts w:ascii="Arial" w:hAnsi="Arial" w:eastAsia="Arial"/>
                <w:b/>
                <w:sz w:val="19"/>
              </w:rPr>
              <w:t>Overall result</w:t>
            </w:r>
          </w:p>
        </w:tc>
        <w:tc>
          <w:tcPr>
            <w:tcW w:type="dxa" w:w="3024"/>
            <w:vAlign w:val="center"/>
            <w:shd w:fill="FFFFFF"/>
          </w:tcPr>
          <w:p>
            <w:pPr>
              <w:spacing w:after="0"/>
              <w:jc w:val="right"/>
            </w:pPr>
            <w:r>
              <w:rPr>
                <w:rFonts w:ascii="Arial" w:hAnsi="Arial" w:eastAsia="Arial"/>
                <w:b/>
                <w:sz w:val="19"/>
              </w:rPr>
              <w:t>+£26.84</w:t>
            </w:r>
          </w:p>
        </w:tc>
      </w:tr>
      <w:tr>
        <w:tc>
          <w:tcPr>
            <w:tcW w:type="dxa" w:w="3456"/>
            <w:vAlign w:val="center"/>
            <w:shd w:fill="EAF2F8"/>
          </w:tcPr>
          <w:p>
            <w:pPr>
              <w:spacing w:after="0"/>
            </w:pPr>
            <w:r>
              <w:rPr>
                <w:rFonts w:ascii="Arial" w:hAnsi="Arial" w:eastAsia="Arial"/>
                <w:b/>
                <w:sz w:val="19"/>
              </w:rPr>
              <w:t>Overall percentage</w:t>
            </w:r>
          </w:p>
        </w:tc>
        <w:tc>
          <w:tcPr>
            <w:tcW w:type="dxa" w:w="3024"/>
            <w:vAlign w:val="center"/>
            <w:shd w:fill="FFFFFF"/>
          </w:tcPr>
          <w:p>
            <w:pPr>
              <w:spacing w:after="0"/>
              <w:jc w:val="right"/>
            </w:pPr>
            <w:r>
              <w:rPr>
                <w:rFonts w:ascii="Arial" w:hAnsi="Arial" w:eastAsia="Arial"/>
                <w:b/>
                <w:sz w:val="19"/>
              </w:rPr>
              <w:t>+1.34%</w:t>
            </w:r>
          </w:p>
        </w:tc>
      </w:tr>
    </w:tbl>
    <w:p>
      <w:pPr>
        <w:pStyle w:val="Heading1"/>
      </w:pPr>
      <w:r>
        <w:t>How the week felt</w:t>
      </w:r>
    </w:p>
    <w:p>
      <w:pPr>
        <w:spacing w:after="80" w:line="245" w:lineRule="auto"/>
      </w:pPr>
      <w:r>
        <w:rPr>
          <w:rFonts w:ascii="Arial" w:hAnsi="Arial" w:eastAsia="Arial"/>
          <w:sz w:val="20"/>
        </w:rPr>
        <w:t>Overall, this felt like a really positive week for the portfolio. The account has recovered well, and it now feels like the portfolio is genuinely improving rather than just bouncing randomly for one or two days.</w:t>
      </w:r>
    </w:p>
    <w:p>
      <w:pPr>
        <w:spacing w:after="80" w:line="245" w:lineRule="auto"/>
      </w:pPr>
      <w:r>
        <w:rPr>
          <w:rFonts w:ascii="Arial" w:hAnsi="Arial" w:eastAsia="Arial"/>
          <w:sz w:val="20"/>
        </w:rPr>
        <w:t>The biggest positive was seeing names like Symbotic, Meta, Alphabet, ASML, QQQA, and VUAG recover properly. Symbotic in particular had been one of the more volatile parts of the portfolio, so seeing it move back strongly was encouraging.</w:t>
      </w:r>
    </w:p>
    <w:p>
      <w:pPr>
        <w:spacing w:after="80" w:line="245" w:lineRule="auto"/>
      </w:pPr>
      <w:r>
        <w:rPr>
          <w:rFonts w:ascii="Arial" w:hAnsi="Arial" w:eastAsia="Arial"/>
          <w:sz w:val="20"/>
        </w:rPr>
        <w:t>This week also showed that patience can pay off. It would have been easy to panic during the weaker weeks, but holding the stronger parts of the portfolio and trimming some of the more speculative exposure earlier has helped the account feel more balanced now.</w:t>
      </w:r>
    </w:p>
    <w:p>
      <w:pPr>
        <w:pStyle w:val="Heading1"/>
      </w:pPr>
      <w:r>
        <w:t>What helped the portfolio</w:t>
      </w:r>
    </w:p>
    <w:p>
      <w:pPr>
        <w:spacing w:after="80" w:line="245" w:lineRule="auto"/>
      </w:pPr>
      <w:r>
        <w:rPr>
          <w:rFonts w:ascii="Arial" w:hAnsi="Arial" w:eastAsia="Arial"/>
          <w:sz w:val="20"/>
        </w:rPr>
        <w:t>The main support came from the growth and technology side of the portfolio. Meta, Alphabet, ASML, QQQA, VUAG, and Symbotic all helped the account recover.</w:t>
      </w:r>
    </w:p>
    <w:p>
      <w:pPr>
        <w:spacing w:after="80" w:line="245" w:lineRule="auto"/>
      </w:pPr>
      <w:r>
        <w:rPr>
          <w:rFonts w:ascii="Arial" w:hAnsi="Arial" w:eastAsia="Arial"/>
          <w:sz w:val="20"/>
        </w:rPr>
        <w:t>Meta still looks like one of the strongest companies in the portfolio. Even though the position size has become larger, I am not especially worried about Meta as a business because it still looks like a high-quality long-term holding.</w:t>
      </w:r>
    </w:p>
    <w:p>
      <w:pPr>
        <w:spacing w:after="80" w:line="245" w:lineRule="auto"/>
      </w:pPr>
      <w:r>
        <w:rPr>
          <w:rFonts w:ascii="Arial" w:hAnsi="Arial" w:eastAsia="Arial"/>
          <w:sz w:val="20"/>
        </w:rPr>
        <w:t>Symbotic was probably the most interesting position this week. It has recovered nicely, and that is good to see after being one of the weaker names earlier on. However, because it is still a more volatile holding, I think it may also be the position where it makes the most sense to consider locking in some gains.</w:t>
      </w:r>
    </w:p>
    <w:p>
      <w:pPr>
        <w:pStyle w:val="Heading1"/>
      </w:pPr>
      <w:r>
        <w:t>What still concerns me</w:t>
      </w:r>
    </w:p>
    <w:p>
      <w:pPr>
        <w:spacing w:after="80" w:line="245" w:lineRule="auto"/>
      </w:pPr>
      <w:r>
        <w:rPr>
          <w:rFonts w:ascii="Arial" w:hAnsi="Arial" w:eastAsia="Arial"/>
          <w:sz w:val="20"/>
        </w:rPr>
        <w:t>Even though the portfolio has improved, I do not want to get carried away. The Middle East situation is still a major risk, especially with what is happening around Iran and the oil market.</w:t>
      </w:r>
    </w:p>
    <w:p>
      <w:pPr>
        <w:spacing w:after="80" w:line="245" w:lineRule="auto"/>
      </w:pPr>
      <w:r>
        <w:rPr>
          <w:rFonts w:ascii="Arial" w:hAnsi="Arial" w:eastAsia="Arial"/>
          <w:sz w:val="20"/>
        </w:rPr>
        <w:t>If tensions rise again and the Strait of Hormuz becomes a bigger issue, I think oil could move higher. If oil rises sharply, that could put pressure on the stock market because investors may start worrying again about inflation, interest rates, and slower growth.</w:t>
      </w:r>
    </w:p>
    <w:p>
      <w:pPr>
        <w:spacing w:after="80" w:line="245" w:lineRule="auto"/>
      </w:pPr>
      <w:r>
        <w:rPr>
          <w:rFonts w:ascii="Arial" w:hAnsi="Arial" w:eastAsia="Arial"/>
          <w:sz w:val="20"/>
        </w:rPr>
        <w:t>That kind of environment would probably not be great for this portfolio, especially because it still has exposure to growth stocks, technology, REITs, and higher-beta names like Symbotic.</w:t>
      </w:r>
    </w:p>
    <w:p>
      <w:pPr>
        <w:spacing w:after="80" w:line="245" w:lineRule="auto"/>
      </w:pPr>
      <w:r>
        <w:rPr>
          <w:rFonts w:ascii="Arial" w:hAnsi="Arial" w:eastAsia="Arial"/>
          <w:sz w:val="20"/>
        </w:rPr>
        <w:t>Gold, through SGLN, is still down in the portfolio, but I still see it more as a hedge than a position that needs to perform every single week. Rheinmetall is also still under pressure, but I do not think the long-term defence thesis has completely broken.</w:t>
      </w:r>
    </w:p>
    <w:p>
      <w:pPr>
        <w:pStyle w:val="Heading1"/>
      </w:pPr>
      <w:r>
        <w:t>My thoughts on trimming</w:t>
      </w:r>
    </w:p>
    <w:p>
      <w:pPr>
        <w:spacing w:after="80" w:line="245" w:lineRule="auto"/>
      </w:pPr>
      <w:r>
        <w:rPr>
          <w:rFonts w:ascii="Arial" w:hAnsi="Arial" w:eastAsia="Arial"/>
          <w:sz w:val="20"/>
        </w:rPr>
        <w:t>At this stage, I am not making a definite decision to sell anything yet, but I am thinking seriously about whether it makes sense to trim some gains.</w:t>
      </w:r>
    </w:p>
    <w:p>
      <w:pPr>
        <w:spacing w:after="80" w:line="245" w:lineRule="auto"/>
      </w:pPr>
      <w:r>
        <w:rPr>
          <w:rFonts w:ascii="Arial" w:hAnsi="Arial" w:eastAsia="Arial"/>
          <w:sz w:val="20"/>
        </w:rPr>
        <w:t>The position I am watching most closely for this is Symbotic. It has recovered well, but because it is more volatile, I think there is a real chance it could give some of those gains back if the market gets choppy again this week.</w:t>
      </w:r>
    </w:p>
    <w:p>
      <w:pPr>
        <w:spacing w:after="80" w:line="245" w:lineRule="auto"/>
      </w:pPr>
      <w:r>
        <w:rPr>
          <w:rFonts w:ascii="Arial" w:hAnsi="Arial" w:eastAsia="Arial"/>
          <w:sz w:val="20"/>
        </w:rPr>
        <w:t>The difficult part is that I am not fully sure what I would do with the cash if I trimmed. I do not want to sell just for the sake of selling. But at the same time, after a strong recovery, it may be sensible to protect some gains rather than assume the market will keep moving in a straight line.</w:t>
      </w:r>
    </w:p>
    <w:p>
      <w:pPr>
        <w:pStyle w:val="Heading1"/>
      </w:pPr>
      <w:r>
        <w:t>Main lesson from the week</w:t>
      </w:r>
    </w:p>
    <w:p>
      <w:pPr>
        <w:spacing w:after="80" w:line="245" w:lineRule="auto"/>
      </w:pPr>
      <w:r>
        <w:rPr>
          <w:rFonts w:ascii="Arial" w:hAnsi="Arial" w:eastAsia="Arial"/>
          <w:sz w:val="20"/>
        </w:rPr>
        <w:t>The main lesson this week is that patience does pay off, but only when it is combined with discipline.</w:t>
      </w:r>
    </w:p>
    <w:p>
      <w:pPr>
        <w:spacing w:after="80" w:line="245" w:lineRule="auto"/>
      </w:pPr>
      <w:r>
        <w:rPr>
          <w:rFonts w:ascii="Arial" w:hAnsi="Arial" w:eastAsia="Arial"/>
          <w:sz w:val="20"/>
        </w:rPr>
        <w:t>The trimming I did around Week 4 or Week 5 definitely helped the portfolio overall. Reducing some of the more speculative exposure and adding more balance to the account made the portfolio healthier. This week's recovery shows the benefit of not panicking when the account was down, but also the benefit of making sensible adjustments when risk felt too high.</w:t>
      </w:r>
    </w:p>
    <w:p>
      <w:pPr>
        <w:pStyle w:val="Heading1"/>
      </w:pPr>
      <w:r>
        <w:t>What I want to watch next week</w:t>
      </w:r>
    </w:p>
    <w:p>
      <w:pPr>
        <w:spacing w:after="80" w:line="245" w:lineRule="auto"/>
      </w:pPr>
      <w:r>
        <w:rPr>
          <w:rFonts w:ascii="Arial" w:hAnsi="Arial" w:eastAsia="Arial"/>
          <w:sz w:val="20"/>
        </w:rPr>
        <w:t>Going into next week, the main thing I am watching is the Middle East situation and the price of oil.</w:t>
      </w:r>
    </w:p>
    <w:p>
      <w:pPr>
        <w:spacing w:after="80" w:line="245" w:lineRule="auto"/>
      </w:pPr>
      <w:r>
        <w:rPr>
          <w:rFonts w:ascii="Arial" w:hAnsi="Arial" w:eastAsia="Arial"/>
          <w:sz w:val="20"/>
        </w:rPr>
        <w:t>If oil starts running again over the next couple of weeks, I think the market could become more nervous. That could make the portfolio more volatile, especially in the growth and higher-risk positions.</w:t>
      </w:r>
    </w:p>
    <w:p>
      <w:pPr>
        <w:spacing w:after="80" w:line="245" w:lineRule="auto"/>
      </w:pPr>
      <w:r>
        <w:rPr>
          <w:rFonts w:ascii="Arial" w:hAnsi="Arial" w:eastAsia="Arial"/>
          <w:sz w:val="20"/>
        </w:rPr>
        <w:t>I also want to watch Symbotic closely. It has had a strong recovery, but that also makes it a possible candidate for trimming if I decide to take some risk off the table.</w:t>
      </w:r>
    </w:p>
    <w:p>
      <w:pPr>
        <w:spacing w:after="80" w:line="245" w:lineRule="auto"/>
      </w:pPr>
      <w:r>
        <w:rPr>
          <w:rFonts w:ascii="Arial" w:hAnsi="Arial" w:eastAsia="Arial"/>
          <w:sz w:val="20"/>
        </w:rPr>
        <w:t>I will also keep watching Meta, Alphabet, ASML, QQQA, and VUAG to see whether the core of the portfolio can keep holding up. These positions are still doing most of the structural work in the account.</w:t>
      </w:r>
    </w:p>
    <w:p>
      <w:pPr>
        <w:pStyle w:val="Heading1"/>
      </w:pPr>
      <w:r>
        <w:t>Overall conclusion</w:t>
      </w:r>
    </w:p>
    <w:p>
      <w:pPr>
        <w:spacing w:after="80" w:line="245" w:lineRule="auto"/>
      </w:pPr>
      <w:r>
        <w:rPr>
          <w:rFonts w:ascii="Arial" w:hAnsi="Arial" w:eastAsia="Arial"/>
          <w:sz w:val="20"/>
        </w:rPr>
        <w:t>Week 7 was a strong improvement for the portfolio. The account is now back above the original starting value, and the recovery in names like Symbotic, Meta, Alphabet, ASML, QQQA, and VUAG shows that the portfolio is starting to work again.</w:t>
      </w:r>
    </w:p>
    <w:p>
      <w:pPr>
        <w:spacing w:after="80" w:line="245" w:lineRule="auto"/>
      </w:pPr>
      <w:r>
        <w:rPr>
          <w:rFonts w:ascii="Arial" w:hAnsi="Arial" w:eastAsia="Arial"/>
          <w:sz w:val="20"/>
        </w:rPr>
        <w:t>However, I want to stay cautious. The portfolio has recovered, but the market backdrop still feels uncertain. Oil, Iran, and wider Middle East tensions could easily make the next week or two more volatile.</w:t>
      </w:r>
    </w:p>
    <w:p>
      <w:pPr>
        <w:spacing w:after="80" w:line="245" w:lineRule="auto"/>
      </w:pPr>
      <w:r>
        <w:rPr>
          <w:rFonts w:ascii="Arial" w:hAnsi="Arial" w:eastAsia="Arial"/>
          <w:sz w:val="20"/>
        </w:rPr>
        <w:t>For now, the right approach is not to panic or rush into trades, but also not to ignore the opportunity to protect gains. Symbotic is the main position I may consider trimming if I decide to reduce risk. The portfolio looks much healthier now, but the next step is to stay disciplined and not get too comfortable after one strong recovery week.</w:t>
      </w:r>
    </w:p>
    <w:sectPr w:rsidR="00FC693F" w:rsidRPr="0006063C" w:rsidSect="00034616">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40404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Portfolio Summary</dc:title>
  <dc:subject>Portfolio weekly review</dc:subject>
  <dc:creator/>
  <cp:keywords/>
  <dc:description/>
  <cp:lastModifiedBy/>
  <cp:revision>1</cp:revision>
  <dcterms:created xsi:type="dcterms:W3CDTF">2013-12-23T23:15:00Z</dcterms:created>
  <dcterms:modified xsi:type="dcterms:W3CDTF">2013-12-23T23:15:00Z</dcterms:modified>
  <cp:category/>
</cp:coreProperties>
</file>