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59" w:lineRule="auto"/>
      </w:pPr>
      <w:r>
        <w:rPr>
          <w:rFonts w:ascii="Aptos" w:hAnsi="Aptos"/>
          <w:b/>
          <w:i w:val="0"/>
          <w:sz w:val="32"/>
        </w:rPr>
        <w:t>Portfolio Journal Rewrite - Timeline and Style Notes</w:t>
      </w:r>
    </w:p>
    <w:p>
      <w:pPr>
        <w:spacing w:after="120" w:before="0" w:line="259" w:lineRule="auto"/>
      </w:pPr>
      <w:r>
        <w:rPr>
          <w:rFonts w:ascii="Aptos" w:hAnsi="Aptos"/>
          <w:b w:val="0"/>
          <w:i/>
          <w:sz w:val="20"/>
        </w:rPr>
        <w:t>Internal style guide used for the rewritten Week 1 to Week 16 documents.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Formatting rules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Plain Word-native layout with black text only.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No blue titles, no decorative report blocks, no coloured heading styles.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Use simple headings, normal margins and readable spacing.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Tables are only used where numbers matter; they are unshaded and neutral.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Tone should feel like a personal investment journal rather than a formal analyst report.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Writing rules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Keep the facts, trades, numbers and meaning intact.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Use first person and natural phrasing.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Avoid repeated formal report phrases such as “the main takeaway”, “overall conclusion”, “the portfolio still looks disciplined”, and “structural work”.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Allow the tone to vary slightly from week to week, because a real journal would not sound identical every time.</w:t>
      </w:r>
    </w:p>
    <w:p>
      <w:pPr>
        <w:spacing w:after="80" w:before="0" w:line="259" w:lineRule="auto"/>
      </w:pPr>
      <w:r>
        <w:rPr>
          <w:rFonts w:ascii="Aptos" w:hAnsi="Aptos"/>
          <w:b w:val="0"/>
          <w:i w:val="0"/>
          <w:sz w:val="22"/>
        </w:rPr>
        <w:t>• Keep doubts and mistakes in the writing rather than smoothing them away.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Timeline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1: Getting the portfolio started — First proper week of the account being put to work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2: Checking whether the structure still made sense — The portfolio was still balanced, but the volatile names were already showing why they needed to stay small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3: The first proper pressure — The account fell to £1,860.18, but I did not think the whole portfolio was broken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4: Rebalancing instead of panicking — Prepared for Dad - 30 March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5: A steadier week, but still not fixed — Week ending 05 April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6: The first signs of recovery — Week ending 12 April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7: Back above the starting line — Week ending April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8: Holding the recovery — Week ending 28 April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9: Taking the Alphabet profit and raising cash — Week ending 04 May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10: Close to breakeven with cash on the side — Week ending 11 May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11: A small pullback after the Google sale — Week ending 15 May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12: A small recovery without Google — Week ending 22 May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13: Back above the start and a Microsoft trade — Portfolio update to Tuesday 2 June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14: Google back in, ASML profit locked — Portfolio update to Tuesday 9 June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15: SpaceX and a stronger account — Portfolio update to Tuesday 16 June 2026</w:t>
      </w:r>
    </w:p>
    <w:p>
      <w:pPr>
        <w:spacing w:after="60" w:before="0" w:line="259" w:lineRule="auto"/>
      </w:pPr>
      <w:r>
        <w:rPr>
          <w:rFonts w:ascii="Aptos" w:hAnsi="Aptos"/>
          <w:b w:val="0"/>
          <w:i w:val="0"/>
          <w:sz w:val="21"/>
        </w:rPr>
        <w:t>Week 16: A pullback and the Pershing Square buy — Portfolio update to Tuesday 23 June 2026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