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59" w:lineRule="auto"/>
      </w:pPr>
      <w:r>
        <w:rPr>
          <w:rFonts w:ascii="Aptos" w:hAnsi="Aptos"/>
          <w:b/>
          <w:i w:val="0"/>
          <w:sz w:val="32"/>
        </w:rPr>
        <w:t>Week 2 - Checking whether the structure still made sense</w:t>
      </w:r>
    </w:p>
    <w:p>
      <w:pPr>
        <w:spacing w:after="200" w:before="0" w:line="259" w:lineRule="auto"/>
      </w:pPr>
      <w:r>
        <w:rPr>
          <w:rFonts w:ascii="Aptos" w:hAnsi="Aptos"/>
          <w:b w:val="0"/>
          <w:i/>
          <w:sz w:val="20"/>
        </w:rPr>
        <w:t>The portfolio was still balanced, but the volatile names were already showing why they needed to stay small</w:t>
      </w:r>
    </w:p>
    <w:p>
      <w:pPr>
        <w:spacing w:after="80" w:before="160" w:line="259" w:lineRule="auto"/>
      </w:pPr>
      <w:r>
        <w:rPr>
          <w:rFonts w:ascii="Aptos" w:hAnsi="Aptos"/>
          <w:b/>
          <w:i w:val="0"/>
          <w:sz w:val="24"/>
        </w:rPr>
        <w:t>Snapshot</w:t>
      </w:r>
    </w:p>
    <w:tbl>
      <w:tblPr>
        <w:tblW w:type="auto" w:w="0"/>
        <w:jc w:val="left"/>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896"/>
        <w:gridCol w:w="4896"/>
      </w:tblGrid>
      <w:tr>
        <w:tc>
          <w:tcPr>
            <w:tcW w:type="dxa" w:w="4896"/>
            <w:vAlign w:val="center"/>
            <w:shd w:fill="FFFFFF"/>
          </w:tcPr>
          <w:p>
            <w:r/>
            <w:r>
              <w:rPr>
                <w:rFonts w:ascii="Aptos" w:hAnsi="Aptos"/>
                <w:b/>
                <w:sz w:val="19"/>
              </w:rPr>
              <w:t>Main read</w:t>
            </w:r>
          </w:p>
        </w:tc>
        <w:tc>
          <w:tcPr>
            <w:tcW w:type="dxa" w:w="4896"/>
            <w:vAlign w:val="center"/>
            <w:shd w:fill="FFFFFF"/>
          </w:tcPr>
          <w:p>
            <w:r/>
            <w:r>
              <w:rPr>
                <w:rFonts w:ascii="Aptos" w:hAnsi="Aptos"/>
                <w:b w:val="0"/>
                <w:sz w:val="19"/>
              </w:rPr>
              <w:t>Portfolio still broadly behaved how I wanted it to</w:t>
            </w:r>
          </w:p>
        </w:tc>
      </w:tr>
      <w:tr>
        <w:tc>
          <w:tcPr>
            <w:tcW w:type="dxa" w:w="4896"/>
            <w:vAlign w:val="center"/>
            <w:shd w:fill="FFFFFF"/>
          </w:tcPr>
          <w:p>
            <w:r/>
            <w:r>
              <w:rPr>
                <w:rFonts w:ascii="Aptos" w:hAnsi="Aptos"/>
                <w:b/>
                <w:sz w:val="19"/>
              </w:rPr>
              <w:t>Core holdings</w:t>
            </w:r>
          </w:p>
        </w:tc>
        <w:tc>
          <w:tcPr>
            <w:tcW w:type="dxa" w:w="4896"/>
            <w:vAlign w:val="center"/>
            <w:shd w:fill="FFFFFF"/>
          </w:tcPr>
          <w:p>
            <w:r/>
            <w:r>
              <w:rPr>
                <w:rFonts w:ascii="Aptos" w:hAnsi="Aptos"/>
                <w:b w:val="0"/>
                <w:sz w:val="19"/>
              </w:rPr>
              <w:t>Alphabet, Meta, ASML, ETFs, Berkshire and gold still gave structure</w:t>
            </w:r>
          </w:p>
        </w:tc>
      </w:tr>
      <w:tr>
        <w:tc>
          <w:tcPr>
            <w:tcW w:type="dxa" w:w="4896"/>
            <w:vAlign w:val="center"/>
            <w:shd w:fill="FFFFFF"/>
          </w:tcPr>
          <w:p>
            <w:r/>
            <w:r>
              <w:rPr>
                <w:rFonts w:ascii="Aptos" w:hAnsi="Aptos"/>
                <w:b/>
                <w:sz w:val="19"/>
              </w:rPr>
              <w:t>Volatile area</w:t>
            </w:r>
          </w:p>
        </w:tc>
        <w:tc>
          <w:tcPr>
            <w:tcW w:type="dxa" w:w="4896"/>
            <w:vAlign w:val="center"/>
            <w:shd w:fill="FFFFFF"/>
          </w:tcPr>
          <w:p>
            <w:r/>
            <w:r>
              <w:rPr>
                <w:rFonts w:ascii="Aptos" w:hAnsi="Aptos"/>
                <w:b w:val="0"/>
                <w:sz w:val="19"/>
              </w:rPr>
              <w:t>Symbotic and IonQ remained the main source of movement</w:t>
            </w:r>
          </w:p>
        </w:tc>
      </w:tr>
      <w:tr>
        <w:tc>
          <w:tcPr>
            <w:tcW w:type="dxa" w:w="4896"/>
            <w:vAlign w:val="center"/>
            <w:shd w:fill="FFFFFF"/>
          </w:tcPr>
          <w:p>
            <w:r/>
            <w:r>
              <w:rPr>
                <w:rFonts w:ascii="Aptos" w:hAnsi="Aptos"/>
                <w:b/>
                <w:sz w:val="19"/>
              </w:rPr>
              <w:t>Key lesson</w:t>
            </w:r>
          </w:p>
        </w:tc>
        <w:tc>
          <w:tcPr>
            <w:tcW w:type="dxa" w:w="4896"/>
            <w:vAlign w:val="center"/>
            <w:shd w:fill="FFFFFF"/>
          </w:tcPr>
          <w:p>
            <w:r/>
            <w:r>
              <w:rPr>
                <w:rFonts w:ascii="Aptos" w:hAnsi="Aptos"/>
                <w:b w:val="0"/>
                <w:sz w:val="19"/>
              </w:rPr>
              <w:t>The portfolio should not rely on one theme or one high-beta trade</w:t>
            </w:r>
          </w:p>
        </w:tc>
      </w:tr>
    </w:tbl>
    <w:p/>
    <w:p>
      <w:pPr>
        <w:spacing w:after="80" w:before="160" w:line="259" w:lineRule="auto"/>
      </w:pPr>
      <w:r>
        <w:rPr>
          <w:rFonts w:ascii="Aptos" w:hAnsi="Aptos"/>
          <w:b/>
          <w:i w:val="0"/>
          <w:sz w:val="24"/>
        </w:rPr>
        <w:t>My read on the account</w:t>
      </w:r>
    </w:p>
    <w:p>
      <w:pPr>
        <w:spacing w:after="140" w:before="0" w:line="259" w:lineRule="auto"/>
      </w:pPr>
      <w:r>
        <w:rPr>
          <w:rFonts w:ascii="Aptos" w:hAnsi="Aptos"/>
          <w:b w:val="0"/>
          <w:i w:val="0"/>
          <w:sz w:val="22"/>
        </w:rPr>
        <w:t>Week 2 gave me a bit more confidence that the original build was not random. The account still felt balanced between quality growth, broad market exposure, defensive holdings and a smaller speculative sleeve. The speculative names were already moving around more than the rest of the account, but they were not big enough to dominate everything.</w:t>
      </w:r>
    </w:p>
    <w:p>
      <w:pPr>
        <w:spacing w:after="140" w:before="0" w:line="259" w:lineRule="auto"/>
      </w:pPr>
      <w:r>
        <w:rPr>
          <w:rFonts w:ascii="Aptos" w:hAnsi="Aptos"/>
          <w:b w:val="0"/>
          <w:i w:val="0"/>
          <w:sz w:val="22"/>
        </w:rPr>
        <w:t>That was important because I did not want the portfolio to become just an IonQ or Symbotic bet. Those names can be exciting, but the account needs a proper base. Alphabet, Meta and ASML were still the cleaner quality-growth side. Berkshire, the ETFs and gold were still helping the account feel more structured.</w:t>
      </w:r>
    </w:p>
    <w:p>
      <w:pPr>
        <w:spacing w:after="80" w:before="160" w:line="259" w:lineRule="auto"/>
      </w:pPr>
      <w:r>
        <w:rPr>
          <w:rFonts w:ascii="Aptos" w:hAnsi="Aptos"/>
          <w:b/>
          <w:i w:val="0"/>
          <w:sz w:val="24"/>
        </w:rPr>
        <w:t>The different parts of the portfolio</w:t>
      </w:r>
    </w:p>
    <w:p>
      <w:pPr>
        <w:spacing w:after="140" w:before="0" w:line="259" w:lineRule="auto"/>
      </w:pPr>
      <w:r>
        <w:rPr>
          <w:rFonts w:ascii="Aptos" w:hAnsi="Aptos"/>
          <w:b w:val="0"/>
          <w:i w:val="0"/>
          <w:sz w:val="22"/>
        </w:rPr>
        <w:t>The steadier side was doing what I wanted it to do. Gold was there as a hedge, Berkshire was there as a quality ballast, and the ETF sleeve gave me broad exposure without needing every individual stock pick to be right. Realty Income and NextEra were not the most exciting holdings, but their role was never meant to be excitement. They were there to improve balance and resilience.</w:t>
      </w:r>
    </w:p>
    <w:p>
      <w:pPr>
        <w:spacing w:after="140" w:before="0" w:line="259" w:lineRule="auto"/>
      </w:pPr>
      <w:r>
        <w:rPr>
          <w:rFonts w:ascii="Aptos" w:hAnsi="Aptos"/>
          <w:b w:val="0"/>
          <w:i w:val="0"/>
          <w:sz w:val="22"/>
        </w:rPr>
        <w:t>The mixed part was still the speculative sleeve. Symbotic and IonQ were the names most likely to move sharply over short periods. I still felt there was enough operational progress to keep monitoring them, but IonQ especially needed to stay under tight review because it was clearly the most speculative holding.</w:t>
      </w:r>
    </w:p>
    <w:p>
      <w:pPr>
        <w:spacing w:after="80" w:before="160" w:line="259" w:lineRule="auto"/>
      </w:pPr>
      <w:r>
        <w:rPr>
          <w:rFonts w:ascii="Aptos" w:hAnsi="Aptos"/>
          <w:b/>
          <w:i w:val="0"/>
          <w:sz w:val="24"/>
        </w:rPr>
        <w:t>What I needed to keep watching</w:t>
      </w:r>
    </w:p>
    <w:p>
      <w:pPr>
        <w:spacing w:after="140" w:before="0" w:line="259" w:lineRule="auto"/>
      </w:pPr>
      <w:r>
        <w:rPr>
          <w:rFonts w:ascii="Aptos" w:hAnsi="Aptos"/>
          <w:b w:val="0"/>
          <w:i w:val="0"/>
          <w:sz w:val="22"/>
        </w:rPr>
        <w:t>Rheinmetall was also a useful reminder that a good company or theme can still fall if expectations have already run too far. The defence case still made sense to me, but the market reaction showed that good news is not always enough when a share price has already moved hard.</w:t>
      </w:r>
    </w:p>
    <w:p>
      <w:pPr>
        <w:spacing w:after="80"/>
        <w:ind w:left="259" w:hanging="259"/>
      </w:pPr>
      <w:r>
        <w:rPr>
          <w:rFonts w:ascii="Aptos" w:hAnsi="Aptos"/>
          <w:sz w:val="21"/>
        </w:rPr>
        <w:t>• Keep watching AI capex sentiment around Alphabet, Meta and ASML.</w:t>
      </w:r>
    </w:p>
    <w:p>
      <w:pPr>
        <w:spacing w:after="80"/>
        <w:ind w:left="259" w:hanging="259"/>
      </w:pPr>
      <w:r>
        <w:rPr>
          <w:rFonts w:ascii="Aptos" w:hAnsi="Aptos"/>
          <w:sz w:val="21"/>
        </w:rPr>
        <w:t>• Separate Rheinmetall’s long-term defence case from short-term expectations risk.</w:t>
      </w:r>
    </w:p>
    <w:p>
      <w:pPr>
        <w:spacing w:after="80"/>
        <w:ind w:left="259" w:hanging="259"/>
      </w:pPr>
      <w:r>
        <w:rPr>
          <w:rFonts w:ascii="Aptos" w:hAnsi="Aptos"/>
          <w:sz w:val="21"/>
        </w:rPr>
        <w:t>• Monitor IonQ and Symbotic through execution, not just price movement.</w:t>
      </w:r>
    </w:p>
    <w:p>
      <w:pPr>
        <w:spacing w:after="80"/>
        <w:ind w:left="259" w:hanging="259"/>
      </w:pPr>
      <w:r>
        <w:rPr>
          <w:rFonts w:ascii="Aptos" w:hAnsi="Aptos"/>
          <w:sz w:val="21"/>
        </w:rPr>
        <w:t>• Watch rates for Realty Income and NextEra.</w:t>
      </w:r>
    </w:p>
    <w:p>
      <w:pPr>
        <w:spacing w:after="80"/>
        <w:ind w:left="259" w:hanging="259"/>
      </w:pPr>
      <w:r>
        <w:rPr>
          <w:rFonts w:ascii="Aptos" w:hAnsi="Aptos"/>
          <w:sz w:val="21"/>
        </w:rPr>
        <w:t>• Keep treating gold as a hedge rather than a weekly trading position.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