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59" w:lineRule="auto"/>
      </w:pPr>
      <w:r>
        <w:rPr>
          <w:rFonts w:ascii="Aptos" w:hAnsi="Aptos"/>
          <w:b/>
          <w:i w:val="0"/>
          <w:sz w:val="32"/>
        </w:rPr>
        <w:t>Week 3 - The first proper pressure</w:t>
      </w:r>
    </w:p>
    <w:p>
      <w:pPr>
        <w:spacing w:after="200" w:before="0" w:line="259" w:lineRule="auto"/>
      </w:pPr>
      <w:r>
        <w:rPr>
          <w:rFonts w:ascii="Aptos" w:hAnsi="Aptos"/>
          <w:b w:val="0"/>
          <w:i/>
          <w:sz w:val="20"/>
        </w:rPr>
        <w:t>The account fell to £1,860.18, but I did not think the whole portfolio was broken</w:t>
      </w:r>
    </w:p>
    <w:p>
      <w:pPr>
        <w:spacing w:after="80" w:before="160" w:line="259" w:lineRule="auto"/>
      </w:pPr>
      <w:r>
        <w:rPr>
          <w:rFonts w:ascii="Aptos" w:hAnsi="Aptos"/>
          <w:b/>
          <w:i w:val="0"/>
          <w:sz w:val="24"/>
        </w:rPr>
        <w:t>Snapshot</w:t>
      </w:r>
    </w:p>
    <w:tbl>
      <w:tblPr>
        <w:tblW w:type="auto" w:w="0"/>
        <w:jc w:val="left"/>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896"/>
        <w:gridCol w:w="4896"/>
      </w:tblGrid>
      <w:tr>
        <w:tc>
          <w:tcPr>
            <w:tcW w:type="dxa" w:w="4896"/>
            <w:vAlign w:val="center"/>
            <w:shd w:fill="FFFFFF"/>
          </w:tcPr>
          <w:p>
            <w:r/>
            <w:r>
              <w:rPr>
                <w:rFonts w:ascii="Aptos" w:hAnsi="Aptos"/>
                <w:b/>
                <w:sz w:val="19"/>
              </w:rPr>
              <w:t>Portfolio total</w:t>
            </w:r>
          </w:p>
        </w:tc>
        <w:tc>
          <w:tcPr>
            <w:tcW w:type="dxa" w:w="4896"/>
            <w:vAlign w:val="center"/>
            <w:shd w:fill="FFFFFF"/>
          </w:tcPr>
          <w:p>
            <w:r/>
            <w:r>
              <w:rPr>
                <w:rFonts w:ascii="Aptos" w:hAnsi="Aptos"/>
                <w:b w:val="0"/>
                <w:sz w:val="19"/>
              </w:rPr>
              <w:t>£1,860.18</w:t>
            </w:r>
          </w:p>
        </w:tc>
      </w:tr>
      <w:tr>
        <w:tc>
          <w:tcPr>
            <w:tcW w:type="dxa" w:w="4896"/>
            <w:vAlign w:val="center"/>
            <w:shd w:fill="FFFFFF"/>
          </w:tcPr>
          <w:p>
            <w:r/>
            <w:r>
              <w:rPr>
                <w:rFonts w:ascii="Aptos" w:hAnsi="Aptos"/>
                <w:b/>
                <w:sz w:val="19"/>
              </w:rPr>
              <w:t>Starting value</w:t>
            </w:r>
          </w:p>
        </w:tc>
        <w:tc>
          <w:tcPr>
            <w:tcW w:type="dxa" w:w="4896"/>
            <w:vAlign w:val="center"/>
            <w:shd w:fill="FFFFFF"/>
          </w:tcPr>
          <w:p>
            <w:r/>
            <w:r>
              <w:rPr>
                <w:rFonts w:ascii="Aptos" w:hAnsi="Aptos"/>
                <w:b w:val="0"/>
                <w:sz w:val="19"/>
              </w:rPr>
              <w:t>£1,996.96</w:t>
            </w:r>
          </w:p>
        </w:tc>
      </w:tr>
      <w:tr>
        <w:tc>
          <w:tcPr>
            <w:tcW w:type="dxa" w:w="4896"/>
            <w:vAlign w:val="center"/>
            <w:shd w:fill="FFFFFF"/>
          </w:tcPr>
          <w:p>
            <w:r/>
            <w:r>
              <w:rPr>
                <w:rFonts w:ascii="Aptos" w:hAnsi="Aptos"/>
                <w:b/>
                <w:sz w:val="19"/>
              </w:rPr>
              <w:t>Change</w:t>
            </w:r>
          </w:p>
        </w:tc>
        <w:tc>
          <w:tcPr>
            <w:tcW w:type="dxa" w:w="4896"/>
            <w:vAlign w:val="center"/>
            <w:shd w:fill="FFFFFF"/>
          </w:tcPr>
          <w:p>
            <w:r/>
            <w:r>
              <w:rPr>
                <w:rFonts w:ascii="Aptos" w:hAnsi="Aptos"/>
                <w:b w:val="0"/>
                <w:sz w:val="19"/>
              </w:rPr>
              <w:t>-£136.78 / -6.85%</w:t>
            </w:r>
          </w:p>
        </w:tc>
      </w:tr>
      <w:tr>
        <w:tc>
          <w:tcPr>
            <w:tcW w:type="dxa" w:w="4896"/>
            <w:vAlign w:val="center"/>
            <w:shd w:fill="FFFFFF"/>
          </w:tcPr>
          <w:p>
            <w:r/>
            <w:r>
              <w:rPr>
                <w:rFonts w:ascii="Aptos" w:hAnsi="Aptos"/>
                <w:b/>
                <w:sz w:val="19"/>
              </w:rPr>
              <w:t>Main drag</w:t>
            </w:r>
          </w:p>
        </w:tc>
        <w:tc>
          <w:tcPr>
            <w:tcW w:type="dxa" w:w="4896"/>
            <w:vAlign w:val="center"/>
            <w:shd w:fill="FFFFFF"/>
          </w:tcPr>
          <w:p>
            <w:r/>
            <w:r>
              <w:rPr>
                <w:rFonts w:ascii="Aptos" w:hAnsi="Aptos"/>
                <w:b w:val="0"/>
                <w:sz w:val="19"/>
              </w:rPr>
              <w:t>Risk-off market pressure and the volatile sleeve</w:t>
            </w:r>
          </w:p>
        </w:tc>
      </w:tr>
      <w:tr>
        <w:tc>
          <w:tcPr>
            <w:tcW w:type="dxa" w:w="4896"/>
            <w:vAlign w:val="center"/>
            <w:shd w:fill="FFFFFF"/>
          </w:tcPr>
          <w:p>
            <w:r/>
            <w:r>
              <w:rPr>
                <w:rFonts w:ascii="Aptos" w:hAnsi="Aptos"/>
                <w:b/>
                <w:sz w:val="19"/>
              </w:rPr>
              <w:t>Names most under review</w:t>
            </w:r>
          </w:p>
        </w:tc>
        <w:tc>
          <w:tcPr>
            <w:tcW w:type="dxa" w:w="4896"/>
            <w:vAlign w:val="center"/>
            <w:shd w:fill="FFFFFF"/>
          </w:tcPr>
          <w:p>
            <w:r/>
            <w:r>
              <w:rPr>
                <w:rFonts w:ascii="Aptos" w:hAnsi="Aptos"/>
                <w:b w:val="0"/>
                <w:sz w:val="19"/>
              </w:rPr>
              <w:t>IonQ and Symbotic</w:t>
            </w:r>
          </w:p>
        </w:tc>
      </w:tr>
    </w:tbl>
    <w:p/>
    <w:p>
      <w:pPr>
        <w:spacing w:after="80" w:before="160" w:line="259" w:lineRule="auto"/>
      </w:pPr>
      <w:r>
        <w:rPr>
          <w:rFonts w:ascii="Aptos" w:hAnsi="Aptos"/>
          <w:b/>
          <w:i w:val="0"/>
          <w:sz w:val="24"/>
        </w:rPr>
        <w:t>How the drawdown felt</w:t>
      </w:r>
    </w:p>
    <w:p>
      <w:pPr>
        <w:spacing w:after="140" w:before="0" w:line="259" w:lineRule="auto"/>
      </w:pPr>
      <w:r>
        <w:rPr>
          <w:rFonts w:ascii="Aptos" w:hAnsi="Aptos"/>
          <w:b w:val="0"/>
          <w:i w:val="0"/>
          <w:sz w:val="22"/>
        </w:rPr>
        <w:t>Week 3 was the first week where the account really came under pressure. The portfolio was down to £1,860.18 against a starting value of £1,996.96, so the move was not small. A fall of around 6.85% is enough to make you pay attention, especially when the account is still new.</w:t>
      </w:r>
    </w:p>
    <w:p>
      <w:pPr>
        <w:spacing w:after="140" w:before="0" w:line="259" w:lineRule="auto"/>
      </w:pPr>
      <w:r>
        <w:rPr>
          <w:rFonts w:ascii="Aptos" w:hAnsi="Aptos"/>
          <w:b w:val="0"/>
          <w:i w:val="0"/>
          <w:sz w:val="22"/>
        </w:rPr>
        <w:t>Even with that, I did not think the whole thing was broken. Most of the weakness looked like it was coming from a broad risk-off move rather than one single holding collapsing. That distinction mattered to me. If one stock had completely damaged the account, that would be one thing. But this felt more like the market turning against the types of assets I owned.</w:t>
      </w:r>
    </w:p>
    <w:p>
      <w:pPr>
        <w:spacing w:after="80" w:before="160" w:line="259" w:lineRule="auto"/>
      </w:pPr>
      <w:r>
        <w:rPr>
          <w:rFonts w:ascii="Aptos" w:hAnsi="Aptos"/>
          <w:b/>
          <w:i w:val="0"/>
          <w:sz w:val="24"/>
        </w:rPr>
        <w:t>Why it fell</w:t>
      </w:r>
    </w:p>
    <w:p>
      <w:pPr>
        <w:spacing w:after="140" w:before="0" w:line="259" w:lineRule="auto"/>
      </w:pPr>
      <w:r>
        <w:rPr>
          <w:rFonts w:ascii="Aptos" w:hAnsi="Aptos"/>
          <w:b w:val="0"/>
          <w:i w:val="0"/>
          <w:sz w:val="22"/>
        </w:rPr>
        <w:t>The backdrop was difficult. Markets were dealing with geopolitical tension, firmer oil, higher bond yields and weaker confidence that rates would fall quickly. That combination usually hurts growth stocks, speculative names, REITs and utilities at the same time. That explains why the pressure was spread across technology exposure, the Nasdaq ETF, Realty Income, NextEra and even gold.</w:t>
      </w:r>
    </w:p>
    <w:p>
      <w:pPr>
        <w:spacing w:after="140" w:before="0" w:line="259" w:lineRule="auto"/>
      </w:pPr>
      <w:r>
        <w:rPr>
          <w:rFonts w:ascii="Aptos" w:hAnsi="Aptos"/>
          <w:b w:val="0"/>
          <w:i w:val="0"/>
          <w:sz w:val="22"/>
        </w:rPr>
        <w:t>The higher-volatility sleeve was still the part I needed to watch most closely. IonQ and Symbotic were the obvious names to review because they can move sharply and they do not have the same defensive qualities as the bigger, more established companies.</w:t>
      </w:r>
    </w:p>
    <w:p>
      <w:pPr>
        <w:spacing w:after="80" w:before="160" w:line="259" w:lineRule="auto"/>
      </w:pPr>
      <w:r>
        <w:rPr>
          <w:rFonts w:ascii="Aptos" w:hAnsi="Aptos"/>
          <w:b/>
          <w:i w:val="0"/>
          <w:sz w:val="24"/>
        </w:rPr>
        <w:t>What I decided from here</w:t>
      </w:r>
    </w:p>
    <w:p>
      <w:pPr>
        <w:spacing w:after="140" w:before="0" w:line="259" w:lineRule="auto"/>
      </w:pPr>
      <w:r>
        <w:rPr>
          <w:rFonts w:ascii="Aptos" w:hAnsi="Aptos"/>
          <w:b w:val="0"/>
          <w:i w:val="0"/>
          <w:sz w:val="22"/>
        </w:rPr>
        <w:t>The best move did not look like panic selling. I needed to stay disciplined, avoid averaging down too aggressively, and put the most scrutiny on the weaker-conviction speculative positions first. If markets stabilised, doing very little would probably be the right answer. If pressure worsened, I would trim weaker speculative exposure before touching the core.</w:t>
      </w:r>
    </w:p>
    <w:p>
      <w:pPr>
        <w:spacing w:after="140" w:before="0" w:line="259" w:lineRule="auto"/>
      </w:pPr>
      <w:r>
        <w:rPr>
          <w:rFonts w:ascii="Aptos" w:hAnsi="Aptos"/>
          <w:b w:val="0"/>
          <w:i w:val="0"/>
          <w:sz w:val="22"/>
        </w:rPr>
        <w:t>This week was a reminder that a portfolio can feel fine when it is being built and very different once everything is red. The important thing was to judge the holdings against the original reasons for owning them, not just against one bad week of prices.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