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line="259" w:lineRule="auto"/>
      </w:pPr>
      <w:r>
        <w:rPr>
          <w:rFonts w:ascii="Aptos" w:hAnsi="Aptos"/>
          <w:b/>
          <w:i w:val="0"/>
          <w:sz w:val="32"/>
        </w:rPr>
        <w:t>Week 4 - Rebalancing instead of panicking</w:t>
      </w:r>
    </w:p>
    <w:p>
      <w:pPr>
        <w:spacing w:after="200" w:before="0" w:line="259" w:lineRule="auto"/>
      </w:pPr>
      <w:r>
        <w:rPr>
          <w:rFonts w:ascii="Aptos" w:hAnsi="Aptos"/>
          <w:b w:val="0"/>
          <w:i/>
          <w:sz w:val="20"/>
        </w:rPr>
        <w:t>Prepared for Dad - 30 March 2026</w:t>
      </w:r>
    </w:p>
    <w:p>
      <w:pPr>
        <w:spacing w:after="80" w:before="160" w:line="259" w:lineRule="auto"/>
      </w:pPr>
      <w:r>
        <w:rPr>
          <w:rFonts w:ascii="Aptos" w:hAnsi="Aptos"/>
          <w:b/>
          <w:i w:val="0"/>
          <w:sz w:val="24"/>
        </w:rPr>
        <w:t>Snapshot</w:t>
      </w:r>
    </w:p>
    <w:tbl>
      <w:tblPr>
        <w:tblW w:type="auto" w:w="0"/>
        <w:jc w:val="left"/>
        <w:tblLayout w:type="autofit"/>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4896"/>
        <w:gridCol w:w="4896"/>
      </w:tblGrid>
      <w:tr>
        <w:tc>
          <w:tcPr>
            <w:tcW w:type="dxa" w:w="4896"/>
            <w:vAlign w:val="center"/>
            <w:shd w:fill="FFFFFF"/>
          </w:tcPr>
          <w:p>
            <w:r/>
            <w:r>
              <w:rPr>
                <w:rFonts w:ascii="Aptos" w:hAnsi="Aptos"/>
                <w:b/>
                <w:sz w:val="19"/>
              </w:rPr>
              <w:t>Portfolio value</w:t>
            </w:r>
          </w:p>
        </w:tc>
        <w:tc>
          <w:tcPr>
            <w:tcW w:type="dxa" w:w="4896"/>
            <w:vAlign w:val="center"/>
            <w:shd w:fill="FFFFFF"/>
          </w:tcPr>
          <w:p>
            <w:r/>
            <w:r>
              <w:rPr>
                <w:rFonts w:ascii="Aptos" w:hAnsi="Aptos"/>
                <w:b w:val="0"/>
                <w:sz w:val="19"/>
              </w:rPr>
              <w:t>Around £1,860</w:t>
            </w:r>
          </w:p>
        </w:tc>
      </w:tr>
      <w:tr>
        <w:tc>
          <w:tcPr>
            <w:tcW w:type="dxa" w:w="4896"/>
            <w:vAlign w:val="center"/>
            <w:shd w:fill="FFFFFF"/>
          </w:tcPr>
          <w:p>
            <w:r/>
            <w:r>
              <w:rPr>
                <w:rFonts w:ascii="Aptos" w:hAnsi="Aptos"/>
                <w:b/>
                <w:sz w:val="19"/>
              </w:rPr>
              <w:t>Starting value</w:t>
            </w:r>
          </w:p>
        </w:tc>
        <w:tc>
          <w:tcPr>
            <w:tcW w:type="dxa" w:w="4896"/>
            <w:vAlign w:val="center"/>
            <w:shd w:fill="FFFFFF"/>
          </w:tcPr>
          <w:p>
            <w:r/>
            <w:r>
              <w:rPr>
                <w:rFonts w:ascii="Aptos" w:hAnsi="Aptos"/>
                <w:b w:val="0"/>
                <w:sz w:val="19"/>
              </w:rPr>
              <w:t>Around £1,999</w:t>
            </w:r>
          </w:p>
        </w:tc>
      </w:tr>
      <w:tr>
        <w:tc>
          <w:tcPr>
            <w:tcW w:type="dxa" w:w="4896"/>
            <w:vAlign w:val="center"/>
            <w:shd w:fill="FFFFFF"/>
          </w:tcPr>
          <w:p>
            <w:r/>
            <w:r>
              <w:rPr>
                <w:rFonts w:ascii="Aptos" w:hAnsi="Aptos"/>
                <w:b/>
                <w:sz w:val="19"/>
              </w:rPr>
              <w:t>Realised loss on trims</w:t>
            </w:r>
          </w:p>
        </w:tc>
        <w:tc>
          <w:tcPr>
            <w:tcW w:type="dxa" w:w="4896"/>
            <w:vAlign w:val="center"/>
            <w:shd w:fill="FFFFFF"/>
          </w:tcPr>
          <w:p>
            <w:r/>
            <w:r>
              <w:rPr>
                <w:rFonts w:ascii="Aptos" w:hAnsi="Aptos"/>
                <w:b w:val="0"/>
                <w:sz w:val="19"/>
              </w:rPr>
              <w:t>About $10</w:t>
            </w:r>
          </w:p>
        </w:tc>
      </w:tr>
      <w:tr>
        <w:tc>
          <w:tcPr>
            <w:tcW w:type="dxa" w:w="4896"/>
            <w:vAlign w:val="center"/>
            <w:shd w:fill="FFFFFF"/>
          </w:tcPr>
          <w:p>
            <w:r/>
            <w:r>
              <w:rPr>
                <w:rFonts w:ascii="Aptos" w:hAnsi="Aptos"/>
                <w:b/>
                <w:sz w:val="19"/>
              </w:rPr>
              <w:t>Main action</w:t>
            </w:r>
          </w:p>
        </w:tc>
        <w:tc>
          <w:tcPr>
            <w:tcW w:type="dxa" w:w="4896"/>
            <w:vAlign w:val="center"/>
            <w:shd w:fill="FFFFFF"/>
          </w:tcPr>
          <w:p>
            <w:r/>
            <w:r>
              <w:rPr>
                <w:rFonts w:ascii="Aptos" w:hAnsi="Aptos"/>
                <w:b w:val="0"/>
                <w:sz w:val="19"/>
              </w:rPr>
              <w:t>Trimmed IonQ and Symbotic; added SGLN, Meta and Realty Income</w:t>
            </w:r>
          </w:p>
        </w:tc>
      </w:tr>
    </w:tbl>
    <w:p/>
    <w:p>
      <w:pPr>
        <w:spacing w:after="80" w:before="160" w:line="259" w:lineRule="auto"/>
      </w:pPr>
      <w:r>
        <w:rPr>
          <w:rFonts w:ascii="Aptos" w:hAnsi="Aptos"/>
          <w:b/>
          <w:i w:val="0"/>
          <w:sz w:val="24"/>
        </w:rPr>
        <w:t>Where the account stood</w:t>
      </w:r>
    </w:p>
    <w:p>
      <w:pPr>
        <w:spacing w:after="140" w:before="0" w:line="259" w:lineRule="auto"/>
      </w:pPr>
      <w:r>
        <w:rPr>
          <w:rFonts w:ascii="Aptos" w:hAnsi="Aptos"/>
          <w:b w:val="0"/>
          <w:i w:val="0"/>
          <w:sz w:val="22"/>
        </w:rPr>
        <w:t>The account was still sitting around £1,860, compared with roughly £1,999 at the start. So on paper the portfolio was still under pressure. I did not like seeing that, but I still viewed it as a difficult market backdrop rather than proof that the whole structure was wrong.</w:t>
      </w:r>
    </w:p>
    <w:p>
      <w:pPr>
        <w:spacing w:after="140" w:before="0" w:line="259" w:lineRule="auto"/>
      </w:pPr>
      <w:r>
        <w:rPr>
          <w:rFonts w:ascii="Aptos" w:hAnsi="Aptos"/>
          <w:b w:val="0"/>
          <w:i w:val="0"/>
          <w:sz w:val="22"/>
        </w:rPr>
        <w:t>The broad picture was similar to Week 3. The core still made sense, but the volatile sleeve had become the part causing most of the discomfort. That made the next decision fairly clear: I needed to reduce the part of the portfolio that was creating the most unnecessary pressure.</w:t>
      </w:r>
    </w:p>
    <w:p>
      <w:pPr>
        <w:spacing w:after="80" w:before="160" w:line="259" w:lineRule="auto"/>
      </w:pPr>
      <w:r>
        <w:rPr>
          <w:rFonts w:ascii="Aptos" w:hAnsi="Aptos"/>
          <w:b/>
          <w:i w:val="0"/>
          <w:sz w:val="24"/>
        </w:rPr>
        <w:t>The rebalance</w:t>
      </w:r>
    </w:p>
    <w:p>
      <w:pPr>
        <w:spacing w:after="140" w:before="0" w:line="259" w:lineRule="auto"/>
      </w:pPr>
      <w:r>
        <w:rPr>
          <w:rFonts w:ascii="Aptos" w:hAnsi="Aptos"/>
          <w:b w:val="0"/>
          <w:i w:val="0"/>
          <w:sz w:val="22"/>
        </w:rPr>
        <w:t>The main thing I did was trim some of the speculative exposure. I cut 1.5 shares of IonQ and 0.8 shares of Symbotic, then reallocated into steadier positions: SGLN, Meta and Realty Income. I did not see that as trading for the sake of trading. It was more about improving the balance of the account after seeing how the portfolio behaved under pressure.</w:t>
      </w:r>
    </w:p>
    <w:p>
      <w:pPr>
        <w:spacing w:after="140" w:before="0" w:line="259" w:lineRule="auto"/>
      </w:pPr>
      <w:r>
        <w:rPr>
          <w:rFonts w:ascii="Aptos" w:hAnsi="Aptos"/>
          <w:b w:val="0"/>
          <w:i w:val="0"/>
          <w:sz w:val="22"/>
        </w:rPr>
        <w:t>The trims realised a loss of about $10. That is not something I would want to make a habit of, but in this case I think it was acceptable because the loss was small and the decision made the account healthier. I would rather take a small controlled loss than sit passively in positions that had become too large a source of volatility.</w:t>
      </w:r>
    </w:p>
    <w:p>
      <w:pPr>
        <w:spacing w:after="80" w:before="160" w:line="259" w:lineRule="auto"/>
      </w:pPr>
      <w:r>
        <w:rPr>
          <w:rFonts w:ascii="Aptos" w:hAnsi="Aptos"/>
          <w:b/>
          <w:i w:val="0"/>
          <w:sz w:val="24"/>
        </w:rPr>
        <w:t>Market backdrop and my view</w:t>
      </w:r>
    </w:p>
    <w:p>
      <w:pPr>
        <w:spacing w:after="140" w:before="0" w:line="259" w:lineRule="auto"/>
      </w:pPr>
      <w:r>
        <w:rPr>
          <w:rFonts w:ascii="Aptos" w:hAnsi="Aptos"/>
          <w:b w:val="0"/>
          <w:i w:val="0"/>
          <w:sz w:val="22"/>
        </w:rPr>
        <w:t>The wider market was still focused on the Middle East and oil. Trump had said attacks would pause for ten days while talks continued, which helped reduce some immediate fear, but it did not remove the uncertainty. Oil was still elevated because investors were worried about escalation and supply disruption.</w:t>
      </w:r>
    </w:p>
    <w:p>
      <w:pPr>
        <w:spacing w:after="140" w:before="0" w:line="259" w:lineRule="auto"/>
      </w:pPr>
      <w:r>
        <w:rPr>
          <w:rFonts w:ascii="Aptos" w:hAnsi="Aptos"/>
          <w:b w:val="0"/>
          <w:i w:val="0"/>
          <w:sz w:val="22"/>
        </w:rPr>
        <w:t>My view at the time was that Iran would probably respect the pause for the time being, or at least avoid doing something that forced immediate escalation before the deadline. That was only my interpretation, not a fact, but it matched the way markets were behaving: calmer than before, but not relaxed.</w:t>
      </w:r>
    </w:p>
    <w:p>
      <w:pPr>
        <w:spacing w:after="140" w:before="0" w:line="259" w:lineRule="auto"/>
      </w:pPr>
      <w:r>
        <w:rPr>
          <w:rFonts w:ascii="Aptos" w:hAnsi="Aptos"/>
          <w:b w:val="0"/>
          <w:i w:val="0"/>
          <w:sz w:val="22"/>
        </w:rPr>
        <w:t>For the portfolio, I expected continued volatility rather than a clean recovery. If diplomacy held, Meta, Alphabet and ASML could recover gradually. If the pause broke, oil and inflation fears could keep putting pressure on growth, REITs and rate-sensitive holdings.</w:t>
      </w:r>
    </w:p>
    <w:p>
      <w:pPr>
        <w:spacing w:after="80" w:before="160" w:line="259" w:lineRule="auto"/>
      </w:pPr>
      <w:r>
        <w:rPr>
          <w:rFonts w:ascii="Aptos" w:hAnsi="Aptos"/>
          <w:b/>
          <w:i w:val="0"/>
          <w:sz w:val="24"/>
        </w:rPr>
        <w:t>Where the portfolio ended up</w:t>
      </w:r>
    </w:p>
    <w:p>
      <w:pPr>
        <w:spacing w:after="140" w:before="0" w:line="259" w:lineRule="auto"/>
      </w:pPr>
      <w:r>
        <w:rPr>
          <w:rFonts w:ascii="Aptos" w:hAnsi="Aptos"/>
          <w:b w:val="0"/>
          <w:i w:val="0"/>
          <w:sz w:val="22"/>
        </w:rPr>
        <w:t>After the rebalance, the account looked more controlled. It still had exposure to growth and AI through Meta, Alphabet and ASML. It still had broad exposure through the ETFs. But it was less dependent on the speculative sleeve behaving well every week.</w:t>
      </w:r>
    </w:p>
    <w:tbl>
      <w:tblPr>
        <w:tblW w:type="auto" w:w="0"/>
        <w:jc w:val="left"/>
        <w:tblLayout w:type="autofit"/>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264"/>
        <w:gridCol w:w="3264"/>
        <w:gridCol w:w="3264"/>
      </w:tblGrid>
      <w:tr>
        <w:tc>
          <w:tcPr>
            <w:tcW w:type="dxa" w:w="3264"/>
            <w:vAlign w:val="center"/>
            <w:shd w:fill="FFFFFF"/>
          </w:tcPr>
          <w:p>
            <w:r/>
            <w:r>
              <w:rPr>
                <w:rFonts w:ascii="Aptos" w:hAnsi="Aptos"/>
                <w:b/>
                <w:sz w:val="19"/>
              </w:rPr>
              <w:t>Ticker</w:t>
            </w:r>
          </w:p>
        </w:tc>
        <w:tc>
          <w:tcPr>
            <w:tcW w:type="dxa" w:w="3264"/>
            <w:vAlign w:val="center"/>
            <w:shd w:fill="FFFFFF"/>
          </w:tcPr>
          <w:p>
            <w:r/>
            <w:r>
              <w:rPr>
                <w:rFonts w:ascii="Aptos" w:hAnsi="Aptos"/>
                <w:b/>
                <w:sz w:val="19"/>
              </w:rPr>
              <w:t>Holding</w:t>
            </w:r>
          </w:p>
        </w:tc>
        <w:tc>
          <w:tcPr>
            <w:tcW w:type="dxa" w:w="3264"/>
            <w:vAlign w:val="center"/>
            <w:shd w:fill="FFFFFF"/>
          </w:tcPr>
          <w:p>
            <w:r/>
            <w:r>
              <w:rPr>
                <w:rFonts w:ascii="Aptos" w:hAnsi="Aptos"/>
                <w:b/>
                <w:sz w:val="19"/>
              </w:rPr>
              <w:t>Shares after rebalance</w:t>
            </w:r>
          </w:p>
        </w:tc>
      </w:tr>
      <w:tr>
        <w:tc>
          <w:tcPr>
            <w:tcW w:type="dxa" w:w="3264"/>
            <w:vAlign w:val="center"/>
            <w:shd w:fill="FFFFFF"/>
          </w:tcPr>
          <w:p>
            <w:r/>
            <w:r>
              <w:rPr>
                <w:rFonts w:ascii="Aptos" w:hAnsi="Aptos"/>
                <w:b w:val="0"/>
                <w:sz w:val="19"/>
              </w:rPr>
              <w:t>ABNB</w:t>
            </w:r>
          </w:p>
        </w:tc>
        <w:tc>
          <w:tcPr>
            <w:tcW w:type="dxa" w:w="3264"/>
            <w:vAlign w:val="center"/>
            <w:shd w:fill="FFFFFF"/>
          </w:tcPr>
          <w:p>
            <w:r/>
            <w:r>
              <w:rPr>
                <w:rFonts w:ascii="Aptos" w:hAnsi="Aptos"/>
                <w:b w:val="0"/>
                <w:sz w:val="19"/>
              </w:rPr>
              <w:t>Airbnb</w:t>
            </w:r>
          </w:p>
        </w:tc>
        <w:tc>
          <w:tcPr>
            <w:tcW w:type="dxa" w:w="3264"/>
            <w:vAlign w:val="center"/>
            <w:shd w:fill="FFFFFF"/>
          </w:tcPr>
          <w:p>
            <w:r/>
            <w:r>
              <w:rPr>
                <w:rFonts w:ascii="Aptos" w:hAnsi="Aptos"/>
                <w:b w:val="0"/>
                <w:sz w:val="19"/>
              </w:rPr>
              <w:t>1.2230</w:t>
            </w:r>
          </w:p>
        </w:tc>
      </w:tr>
      <w:tr>
        <w:tc>
          <w:tcPr>
            <w:tcW w:type="dxa" w:w="3264"/>
            <w:vAlign w:val="center"/>
            <w:shd w:fill="FFFFFF"/>
          </w:tcPr>
          <w:p>
            <w:r/>
            <w:r>
              <w:rPr>
                <w:rFonts w:ascii="Aptos" w:hAnsi="Aptos"/>
                <w:b w:val="0"/>
                <w:sz w:val="19"/>
              </w:rPr>
              <w:t>ASML</w:t>
            </w:r>
          </w:p>
        </w:tc>
        <w:tc>
          <w:tcPr>
            <w:tcW w:type="dxa" w:w="3264"/>
            <w:vAlign w:val="center"/>
            <w:shd w:fill="FFFFFF"/>
          </w:tcPr>
          <w:p>
            <w:r/>
            <w:r>
              <w:rPr>
                <w:rFonts w:ascii="Aptos" w:hAnsi="Aptos"/>
                <w:b w:val="0"/>
                <w:sz w:val="19"/>
              </w:rPr>
              <w:t>ASML Holding</w:t>
            </w:r>
          </w:p>
        </w:tc>
        <w:tc>
          <w:tcPr>
            <w:tcW w:type="dxa" w:w="3264"/>
            <w:vAlign w:val="center"/>
            <w:shd w:fill="FFFFFF"/>
          </w:tcPr>
          <w:p>
            <w:r/>
            <w:r>
              <w:rPr>
                <w:rFonts w:ascii="Aptos" w:hAnsi="Aptos"/>
                <w:b w:val="0"/>
                <w:sz w:val="19"/>
              </w:rPr>
              <w:t>0.1190</w:t>
            </w:r>
          </w:p>
        </w:tc>
      </w:tr>
      <w:tr>
        <w:tc>
          <w:tcPr>
            <w:tcW w:type="dxa" w:w="3264"/>
            <w:vAlign w:val="center"/>
            <w:shd w:fill="FFFFFF"/>
          </w:tcPr>
          <w:p>
            <w:r/>
            <w:r>
              <w:rPr>
                <w:rFonts w:ascii="Aptos" w:hAnsi="Aptos"/>
                <w:b w:val="0"/>
                <w:sz w:val="19"/>
              </w:rPr>
              <w:t>BRK.B</w:t>
            </w:r>
          </w:p>
        </w:tc>
        <w:tc>
          <w:tcPr>
            <w:tcW w:type="dxa" w:w="3264"/>
            <w:vAlign w:val="center"/>
            <w:shd w:fill="FFFFFF"/>
          </w:tcPr>
          <w:p>
            <w:r/>
            <w:r>
              <w:rPr>
                <w:rFonts w:ascii="Aptos" w:hAnsi="Aptos"/>
                <w:b w:val="0"/>
                <w:sz w:val="19"/>
              </w:rPr>
              <w:t>Berkshire Hathaway</w:t>
            </w:r>
          </w:p>
        </w:tc>
        <w:tc>
          <w:tcPr>
            <w:tcW w:type="dxa" w:w="3264"/>
            <w:vAlign w:val="center"/>
            <w:shd w:fill="FFFFFF"/>
          </w:tcPr>
          <w:p>
            <w:r/>
            <w:r>
              <w:rPr>
                <w:rFonts w:ascii="Aptos" w:hAnsi="Aptos"/>
                <w:b w:val="0"/>
                <w:sz w:val="19"/>
              </w:rPr>
              <w:t>0.3884</w:t>
            </w:r>
          </w:p>
        </w:tc>
      </w:tr>
      <w:tr>
        <w:tc>
          <w:tcPr>
            <w:tcW w:type="dxa" w:w="3264"/>
            <w:vAlign w:val="center"/>
            <w:shd w:fill="FFFFFF"/>
          </w:tcPr>
          <w:p>
            <w:r/>
            <w:r>
              <w:rPr>
                <w:rFonts w:ascii="Aptos" w:hAnsi="Aptos"/>
                <w:b w:val="0"/>
                <w:sz w:val="19"/>
              </w:rPr>
              <w:t>GOOGL</w:t>
            </w:r>
          </w:p>
        </w:tc>
        <w:tc>
          <w:tcPr>
            <w:tcW w:type="dxa" w:w="3264"/>
            <w:vAlign w:val="center"/>
            <w:shd w:fill="FFFFFF"/>
          </w:tcPr>
          <w:p>
            <w:r/>
            <w:r>
              <w:rPr>
                <w:rFonts w:ascii="Aptos" w:hAnsi="Aptos"/>
                <w:b w:val="0"/>
                <w:sz w:val="19"/>
              </w:rPr>
              <w:t>Alphabet</w:t>
            </w:r>
          </w:p>
        </w:tc>
        <w:tc>
          <w:tcPr>
            <w:tcW w:type="dxa" w:w="3264"/>
            <w:vAlign w:val="center"/>
            <w:shd w:fill="FFFFFF"/>
          </w:tcPr>
          <w:p>
            <w:r/>
            <w:r>
              <w:rPr>
                <w:rFonts w:ascii="Aptos" w:hAnsi="Aptos"/>
                <w:b w:val="0"/>
                <w:sz w:val="19"/>
              </w:rPr>
              <w:t>0.8032</w:t>
            </w:r>
          </w:p>
        </w:tc>
      </w:tr>
      <w:tr>
        <w:tc>
          <w:tcPr>
            <w:tcW w:type="dxa" w:w="3264"/>
            <w:vAlign w:val="center"/>
            <w:shd w:fill="FFFFFF"/>
          </w:tcPr>
          <w:p>
            <w:r/>
            <w:r>
              <w:rPr>
                <w:rFonts w:ascii="Aptos" w:hAnsi="Aptos"/>
                <w:b w:val="0"/>
                <w:sz w:val="19"/>
              </w:rPr>
              <w:t>IONQ</w:t>
            </w:r>
          </w:p>
        </w:tc>
        <w:tc>
          <w:tcPr>
            <w:tcW w:type="dxa" w:w="3264"/>
            <w:vAlign w:val="center"/>
            <w:shd w:fill="FFFFFF"/>
          </w:tcPr>
          <w:p>
            <w:r/>
            <w:r>
              <w:rPr>
                <w:rFonts w:ascii="Aptos" w:hAnsi="Aptos"/>
                <w:b w:val="0"/>
                <w:sz w:val="19"/>
              </w:rPr>
              <w:t>IonQ</w:t>
            </w:r>
          </w:p>
        </w:tc>
        <w:tc>
          <w:tcPr>
            <w:tcW w:type="dxa" w:w="3264"/>
            <w:vAlign w:val="center"/>
            <w:shd w:fill="FFFFFF"/>
          </w:tcPr>
          <w:p>
            <w:r/>
            <w:r>
              <w:rPr>
                <w:rFonts w:ascii="Aptos" w:hAnsi="Aptos"/>
                <w:b w:val="0"/>
                <w:sz w:val="19"/>
              </w:rPr>
              <w:t>2.1190</w:t>
            </w:r>
          </w:p>
        </w:tc>
      </w:tr>
      <w:tr>
        <w:tc>
          <w:tcPr>
            <w:tcW w:type="dxa" w:w="3264"/>
            <w:vAlign w:val="center"/>
            <w:shd w:fill="FFFFFF"/>
          </w:tcPr>
          <w:p>
            <w:r/>
            <w:r>
              <w:rPr>
                <w:rFonts w:ascii="Aptos" w:hAnsi="Aptos"/>
                <w:b w:val="0"/>
                <w:sz w:val="19"/>
              </w:rPr>
              <w:t>META</w:t>
            </w:r>
          </w:p>
        </w:tc>
        <w:tc>
          <w:tcPr>
            <w:tcW w:type="dxa" w:w="3264"/>
            <w:vAlign w:val="center"/>
            <w:shd w:fill="FFFFFF"/>
          </w:tcPr>
          <w:p>
            <w:r/>
            <w:r>
              <w:rPr>
                <w:rFonts w:ascii="Aptos" w:hAnsi="Aptos"/>
                <w:b w:val="0"/>
                <w:sz w:val="19"/>
              </w:rPr>
              <w:t>Meta Platforms</w:t>
            </w:r>
          </w:p>
        </w:tc>
        <w:tc>
          <w:tcPr>
            <w:tcW w:type="dxa" w:w="3264"/>
            <w:vAlign w:val="center"/>
            <w:shd w:fill="FFFFFF"/>
          </w:tcPr>
          <w:p>
            <w:r/>
            <w:r>
              <w:rPr>
                <w:rFonts w:ascii="Aptos" w:hAnsi="Aptos"/>
                <w:b w:val="0"/>
                <w:sz w:val="19"/>
              </w:rPr>
              <w:t>0.4200</w:t>
            </w:r>
          </w:p>
        </w:tc>
      </w:tr>
      <w:tr>
        <w:tc>
          <w:tcPr>
            <w:tcW w:type="dxa" w:w="3264"/>
            <w:vAlign w:val="center"/>
            <w:shd w:fill="FFFFFF"/>
          </w:tcPr>
          <w:p>
            <w:r/>
            <w:r>
              <w:rPr>
                <w:rFonts w:ascii="Aptos" w:hAnsi="Aptos"/>
                <w:b w:val="0"/>
                <w:sz w:val="19"/>
              </w:rPr>
              <w:t>NEE</w:t>
            </w:r>
          </w:p>
        </w:tc>
        <w:tc>
          <w:tcPr>
            <w:tcW w:type="dxa" w:w="3264"/>
            <w:vAlign w:val="center"/>
            <w:shd w:fill="FFFFFF"/>
          </w:tcPr>
          <w:p>
            <w:r/>
            <w:r>
              <w:rPr>
                <w:rFonts w:ascii="Aptos" w:hAnsi="Aptos"/>
                <w:b w:val="0"/>
                <w:sz w:val="19"/>
              </w:rPr>
              <w:t>NextEra Energy</w:t>
            </w:r>
          </w:p>
        </w:tc>
        <w:tc>
          <w:tcPr>
            <w:tcW w:type="dxa" w:w="3264"/>
            <w:vAlign w:val="center"/>
            <w:shd w:fill="FFFFFF"/>
          </w:tcPr>
          <w:p>
            <w:r/>
            <w:r>
              <w:rPr>
                <w:rFonts w:ascii="Aptos" w:hAnsi="Aptos"/>
                <w:b w:val="0"/>
                <w:sz w:val="19"/>
              </w:rPr>
              <w:t>2.0400</w:t>
            </w:r>
          </w:p>
        </w:tc>
      </w:tr>
      <w:tr>
        <w:tc>
          <w:tcPr>
            <w:tcW w:type="dxa" w:w="3264"/>
            <w:vAlign w:val="center"/>
            <w:shd w:fill="FFFFFF"/>
          </w:tcPr>
          <w:p>
            <w:r/>
            <w:r>
              <w:rPr>
                <w:rFonts w:ascii="Aptos" w:hAnsi="Aptos"/>
                <w:b w:val="0"/>
                <w:sz w:val="19"/>
              </w:rPr>
              <w:t>O</w:t>
            </w:r>
          </w:p>
        </w:tc>
        <w:tc>
          <w:tcPr>
            <w:tcW w:type="dxa" w:w="3264"/>
            <w:vAlign w:val="center"/>
            <w:shd w:fill="FFFFFF"/>
          </w:tcPr>
          <w:p>
            <w:r/>
            <w:r>
              <w:rPr>
                <w:rFonts w:ascii="Aptos" w:hAnsi="Aptos"/>
                <w:b w:val="0"/>
                <w:sz w:val="19"/>
              </w:rPr>
              <w:t>Realty Income</w:t>
            </w:r>
          </w:p>
        </w:tc>
        <w:tc>
          <w:tcPr>
            <w:tcW w:type="dxa" w:w="3264"/>
            <w:vAlign w:val="center"/>
            <w:shd w:fill="FFFFFF"/>
          </w:tcPr>
          <w:p>
            <w:r/>
            <w:r>
              <w:rPr>
                <w:rFonts w:ascii="Aptos" w:hAnsi="Aptos"/>
                <w:b w:val="0"/>
                <w:sz w:val="19"/>
              </w:rPr>
              <w:t>3.2780</w:t>
            </w:r>
          </w:p>
        </w:tc>
      </w:tr>
      <w:tr>
        <w:tc>
          <w:tcPr>
            <w:tcW w:type="dxa" w:w="3264"/>
            <w:vAlign w:val="center"/>
            <w:shd w:fill="FFFFFF"/>
          </w:tcPr>
          <w:p>
            <w:r/>
            <w:r>
              <w:rPr>
                <w:rFonts w:ascii="Aptos" w:hAnsi="Aptos"/>
                <w:b w:val="0"/>
                <w:sz w:val="19"/>
              </w:rPr>
              <w:t>QQQA</w:t>
            </w:r>
          </w:p>
        </w:tc>
        <w:tc>
          <w:tcPr>
            <w:tcW w:type="dxa" w:w="3264"/>
            <w:vAlign w:val="center"/>
            <w:shd w:fill="FFFFFF"/>
          </w:tcPr>
          <w:p>
            <w:r/>
            <w:r>
              <w:rPr>
                <w:rFonts w:ascii="Aptos" w:hAnsi="Aptos"/>
                <w:b w:val="0"/>
                <w:sz w:val="19"/>
              </w:rPr>
              <w:t>UBS Nasdaq-100 (Acc)</w:t>
            </w:r>
          </w:p>
        </w:tc>
        <w:tc>
          <w:tcPr>
            <w:tcW w:type="dxa" w:w="3264"/>
            <w:vAlign w:val="center"/>
            <w:shd w:fill="FFFFFF"/>
          </w:tcPr>
          <w:p>
            <w:r/>
            <w:r>
              <w:rPr>
                <w:rFonts w:ascii="Aptos" w:hAnsi="Aptos"/>
                <w:b w:val="0"/>
                <w:sz w:val="19"/>
              </w:rPr>
              <w:t>6.5662</w:t>
            </w:r>
          </w:p>
        </w:tc>
      </w:tr>
      <w:tr>
        <w:tc>
          <w:tcPr>
            <w:tcW w:type="dxa" w:w="3264"/>
            <w:vAlign w:val="center"/>
            <w:shd w:fill="FFFFFF"/>
          </w:tcPr>
          <w:p>
            <w:r/>
            <w:r>
              <w:rPr>
                <w:rFonts w:ascii="Aptos" w:hAnsi="Aptos"/>
                <w:b w:val="0"/>
                <w:sz w:val="19"/>
              </w:rPr>
              <w:t>RHM</w:t>
            </w:r>
          </w:p>
        </w:tc>
        <w:tc>
          <w:tcPr>
            <w:tcW w:type="dxa" w:w="3264"/>
            <w:vAlign w:val="center"/>
            <w:shd w:fill="FFFFFF"/>
          </w:tcPr>
          <w:p>
            <w:r/>
            <w:r>
              <w:rPr>
                <w:rFonts w:ascii="Aptos" w:hAnsi="Aptos"/>
                <w:b w:val="0"/>
                <w:sz w:val="19"/>
              </w:rPr>
              <w:t>Rheinmetall</w:t>
            </w:r>
          </w:p>
        </w:tc>
        <w:tc>
          <w:tcPr>
            <w:tcW w:type="dxa" w:w="3264"/>
            <w:vAlign w:val="center"/>
            <w:shd w:fill="FFFFFF"/>
          </w:tcPr>
          <w:p>
            <w:r/>
            <w:r>
              <w:rPr>
                <w:rFonts w:ascii="Aptos" w:hAnsi="Aptos"/>
                <w:b w:val="0"/>
                <w:sz w:val="19"/>
              </w:rPr>
              <w:t>0.0868</w:t>
            </w:r>
          </w:p>
        </w:tc>
      </w:tr>
      <w:tr>
        <w:tc>
          <w:tcPr>
            <w:tcW w:type="dxa" w:w="3264"/>
            <w:vAlign w:val="center"/>
            <w:shd w:fill="FFFFFF"/>
          </w:tcPr>
          <w:p>
            <w:r/>
            <w:r>
              <w:rPr>
                <w:rFonts w:ascii="Aptos" w:hAnsi="Aptos"/>
                <w:b w:val="0"/>
                <w:sz w:val="19"/>
              </w:rPr>
              <w:t>SGLN</w:t>
            </w:r>
          </w:p>
        </w:tc>
        <w:tc>
          <w:tcPr>
            <w:tcW w:type="dxa" w:w="3264"/>
            <w:vAlign w:val="center"/>
            <w:shd w:fill="FFFFFF"/>
          </w:tcPr>
          <w:p>
            <w:r/>
            <w:r>
              <w:rPr>
                <w:rFonts w:ascii="Aptos" w:hAnsi="Aptos"/>
                <w:b w:val="0"/>
                <w:sz w:val="19"/>
              </w:rPr>
              <w:t>iShares Physical Gold</w:t>
            </w:r>
          </w:p>
        </w:tc>
        <w:tc>
          <w:tcPr>
            <w:tcW w:type="dxa" w:w="3264"/>
            <w:vAlign w:val="center"/>
            <w:shd w:fill="FFFFFF"/>
          </w:tcPr>
          <w:p>
            <w:r/>
            <w:r>
              <w:rPr>
                <w:rFonts w:ascii="Aptos" w:hAnsi="Aptos"/>
                <w:b w:val="0"/>
                <w:sz w:val="19"/>
              </w:rPr>
              <w:t>4.7193</w:t>
            </w:r>
          </w:p>
        </w:tc>
      </w:tr>
      <w:tr>
        <w:tc>
          <w:tcPr>
            <w:tcW w:type="dxa" w:w="3264"/>
            <w:vAlign w:val="center"/>
            <w:shd w:fill="FFFFFF"/>
          </w:tcPr>
          <w:p>
            <w:r/>
            <w:r>
              <w:rPr>
                <w:rFonts w:ascii="Aptos" w:hAnsi="Aptos"/>
                <w:b w:val="0"/>
                <w:sz w:val="19"/>
              </w:rPr>
              <w:t>SYM</w:t>
            </w:r>
          </w:p>
        </w:tc>
        <w:tc>
          <w:tcPr>
            <w:tcW w:type="dxa" w:w="3264"/>
            <w:vAlign w:val="center"/>
            <w:shd w:fill="FFFFFF"/>
          </w:tcPr>
          <w:p>
            <w:r/>
            <w:r>
              <w:rPr>
                <w:rFonts w:ascii="Aptos" w:hAnsi="Aptos"/>
                <w:b w:val="0"/>
                <w:sz w:val="19"/>
              </w:rPr>
              <w:t>Symbotic</w:t>
            </w:r>
          </w:p>
        </w:tc>
        <w:tc>
          <w:tcPr>
            <w:tcW w:type="dxa" w:w="3264"/>
            <w:vAlign w:val="center"/>
            <w:shd w:fill="FFFFFF"/>
          </w:tcPr>
          <w:p>
            <w:r/>
            <w:r>
              <w:rPr>
                <w:rFonts w:ascii="Aptos" w:hAnsi="Aptos"/>
                <w:b w:val="0"/>
                <w:sz w:val="19"/>
              </w:rPr>
              <w:t>1.7680</w:t>
            </w:r>
          </w:p>
        </w:tc>
      </w:tr>
      <w:tr>
        <w:tc>
          <w:tcPr>
            <w:tcW w:type="dxa" w:w="3264"/>
            <w:vAlign w:val="center"/>
            <w:shd w:fill="FFFFFF"/>
          </w:tcPr>
          <w:p>
            <w:r/>
            <w:r>
              <w:rPr>
                <w:rFonts w:ascii="Aptos" w:hAnsi="Aptos"/>
                <w:b w:val="0"/>
                <w:sz w:val="19"/>
              </w:rPr>
              <w:t>VUAG</w:t>
            </w:r>
          </w:p>
        </w:tc>
        <w:tc>
          <w:tcPr>
            <w:tcW w:type="dxa" w:w="3264"/>
            <w:vAlign w:val="center"/>
            <w:shd w:fill="FFFFFF"/>
          </w:tcPr>
          <w:p>
            <w:r/>
            <w:r>
              <w:rPr>
                <w:rFonts w:ascii="Aptos" w:hAnsi="Aptos"/>
                <w:b w:val="0"/>
                <w:sz w:val="19"/>
              </w:rPr>
              <w:t>Vanguard S&amp;P 500 (Acc)</w:t>
            </w:r>
          </w:p>
        </w:tc>
        <w:tc>
          <w:tcPr>
            <w:tcW w:type="dxa" w:w="3264"/>
            <w:vAlign w:val="center"/>
            <w:shd w:fill="FFFFFF"/>
          </w:tcPr>
          <w:p>
            <w:r/>
            <w:r>
              <w:rPr>
                <w:rFonts w:ascii="Aptos" w:hAnsi="Aptos"/>
                <w:b w:val="0"/>
                <w:sz w:val="19"/>
              </w:rPr>
              <w:t>2.0366</w:t>
            </w:r>
          </w:p>
        </w:tc>
      </w:tr>
    </w:tbl>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