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5 - A steadier week, but still not fixed</w:t>
      </w:r>
    </w:p>
    <w:p>
      <w:pPr>
        <w:spacing w:after="200" w:before="0" w:line="259" w:lineRule="auto"/>
      </w:pPr>
      <w:r>
        <w:rPr>
          <w:rFonts w:ascii="Aptos" w:hAnsi="Aptos"/>
          <w:b w:val="0"/>
          <w:i/>
          <w:sz w:val="20"/>
        </w:rPr>
        <w:t>Week ending 05 April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Portfolio value</w:t>
            </w:r>
          </w:p>
        </w:tc>
        <w:tc>
          <w:tcPr>
            <w:tcW w:type="dxa" w:w="4896"/>
            <w:vAlign w:val="center"/>
            <w:shd w:fill="FFFFFF"/>
          </w:tcPr>
          <w:p>
            <w:r/>
            <w:r>
              <w:rPr>
                <w:rFonts w:ascii="Aptos" w:hAnsi="Aptos"/>
                <w:b w:val="0"/>
                <w:sz w:val="19"/>
              </w:rPr>
              <w:t>Around £1,931</w:t>
            </w:r>
          </w:p>
        </w:tc>
      </w:tr>
      <w:tr>
        <w:tc>
          <w:tcPr>
            <w:tcW w:type="dxa" w:w="4896"/>
            <w:vAlign w:val="center"/>
            <w:shd w:fill="FFFFFF"/>
          </w:tcPr>
          <w:p>
            <w:r/>
            <w:r>
              <w:rPr>
                <w:rFonts w:ascii="Aptos" w:hAnsi="Aptos"/>
                <w:b/>
                <w:sz w:val="19"/>
              </w:rPr>
              <w:t>Cost base</w:t>
            </w:r>
          </w:p>
        </w:tc>
        <w:tc>
          <w:tcPr>
            <w:tcW w:type="dxa" w:w="4896"/>
            <w:vAlign w:val="center"/>
            <w:shd w:fill="FFFFFF"/>
          </w:tcPr>
          <w:p>
            <w:r/>
            <w:r>
              <w:rPr>
                <w:rFonts w:ascii="Aptos" w:hAnsi="Aptos"/>
                <w:b w:val="0"/>
                <w:sz w:val="19"/>
              </w:rPr>
              <w:t>Roughly £1,999</w:t>
            </w:r>
          </w:p>
        </w:tc>
      </w:tr>
      <w:tr>
        <w:tc>
          <w:tcPr>
            <w:tcW w:type="dxa" w:w="4896"/>
            <w:vAlign w:val="center"/>
            <w:shd w:fill="FFFFFF"/>
          </w:tcPr>
          <w:p>
            <w:r/>
            <w:r>
              <w:rPr>
                <w:rFonts w:ascii="Aptos" w:hAnsi="Aptos"/>
                <w:b/>
                <w:sz w:val="19"/>
              </w:rPr>
              <w:t>Main feeling</w:t>
            </w:r>
          </w:p>
        </w:tc>
        <w:tc>
          <w:tcPr>
            <w:tcW w:type="dxa" w:w="4896"/>
            <w:vAlign w:val="center"/>
            <w:shd w:fill="FFFFFF"/>
          </w:tcPr>
          <w:p>
            <w:r/>
            <w:r>
              <w:rPr>
                <w:rFonts w:ascii="Aptos" w:hAnsi="Aptos"/>
                <w:b w:val="0"/>
                <w:sz w:val="19"/>
              </w:rPr>
              <w:t>Steadier and more controlled than the raw number suggested</w:t>
            </w:r>
          </w:p>
        </w:tc>
      </w:tr>
      <w:tr>
        <w:tc>
          <w:tcPr>
            <w:tcW w:type="dxa" w:w="4896"/>
            <w:vAlign w:val="center"/>
            <w:shd w:fill="FFFFFF"/>
          </w:tcPr>
          <w:p>
            <w:r/>
            <w:r>
              <w:rPr>
                <w:rFonts w:ascii="Aptos" w:hAnsi="Aptos"/>
                <w:b/>
                <w:sz w:val="19"/>
              </w:rPr>
              <w:t>Main weak spots</w:t>
            </w:r>
          </w:p>
        </w:tc>
        <w:tc>
          <w:tcPr>
            <w:tcW w:type="dxa" w:w="4896"/>
            <w:vAlign w:val="center"/>
            <w:shd w:fill="FFFFFF"/>
          </w:tcPr>
          <w:p>
            <w:r/>
            <w:r>
              <w:rPr>
                <w:rFonts w:ascii="Aptos" w:hAnsi="Aptos"/>
                <w:b w:val="0"/>
                <w:sz w:val="19"/>
              </w:rPr>
              <w:t>IonQ, Symbotic and Airbnb</w:t>
            </w:r>
          </w:p>
        </w:tc>
      </w:tr>
    </w:tbl>
    <w:p/>
    <w:p>
      <w:pPr>
        <w:spacing w:after="80" w:before="160" w:line="259" w:lineRule="auto"/>
      </w:pPr>
      <w:r>
        <w:rPr>
          <w:rFonts w:ascii="Aptos" w:hAnsi="Aptos"/>
          <w:b/>
          <w:i w:val="0"/>
          <w:sz w:val="24"/>
        </w:rPr>
        <w:t>How it felt</w:t>
      </w:r>
    </w:p>
    <w:p>
      <w:pPr>
        <w:spacing w:after="140" w:before="0" w:line="259" w:lineRule="auto"/>
      </w:pPr>
      <w:r>
        <w:rPr>
          <w:rFonts w:ascii="Aptos" w:hAnsi="Aptos"/>
          <w:b w:val="0"/>
          <w:i w:val="0"/>
          <w:sz w:val="22"/>
        </w:rPr>
        <w:t>Week 5 felt better than the account number probably looked. The portfolio was still down overall, sitting around £1,931 against a cost base of roughly £1,999, but it did not feel like the account was falling apart. It felt more controlled than the weeks before.</w:t>
      </w:r>
    </w:p>
    <w:p>
      <w:pPr>
        <w:spacing w:after="140" w:before="0" w:line="259" w:lineRule="auto"/>
      </w:pPr>
      <w:r>
        <w:rPr>
          <w:rFonts w:ascii="Aptos" w:hAnsi="Aptos"/>
          <w:b w:val="0"/>
          <w:i w:val="0"/>
          <w:sz w:val="22"/>
        </w:rPr>
        <w:t>The pattern was still the same. The stronger, steadier names were helping hold things together, while the higher-risk part of the account was still where most of the pain sat. That mattered because the weakness was not coming from everything at once. It was concentrated.</w:t>
      </w:r>
    </w:p>
    <w:p>
      <w:pPr>
        <w:spacing w:after="80" w:before="160" w:line="259" w:lineRule="auto"/>
      </w:pPr>
      <w:r>
        <w:rPr>
          <w:rFonts w:ascii="Aptos" w:hAnsi="Aptos"/>
          <w:b/>
          <w:i w:val="0"/>
          <w:sz w:val="24"/>
        </w:rPr>
        <w:t>What helped and what dragged</w:t>
      </w:r>
    </w:p>
    <w:p>
      <w:pPr>
        <w:spacing w:after="140" w:before="0" w:line="259" w:lineRule="auto"/>
      </w:pPr>
      <w:r>
        <w:rPr>
          <w:rFonts w:ascii="Aptos" w:hAnsi="Aptos"/>
          <w:b w:val="0"/>
          <w:i w:val="0"/>
          <w:sz w:val="22"/>
        </w:rPr>
        <w:t>Realty Income, NextEra and Meta gave the portfolio a bit more balance. That is exactly why those types of holdings are there. They are not always exciting, but they help stop the account from being completely driven by high-beta names.</w:t>
      </w:r>
    </w:p>
    <w:p>
      <w:pPr>
        <w:spacing w:after="140" w:before="0" w:line="259" w:lineRule="auto"/>
      </w:pPr>
      <w:r>
        <w:rPr>
          <w:rFonts w:ascii="Aptos" w:hAnsi="Aptos"/>
          <w:b w:val="0"/>
          <w:i w:val="0"/>
          <w:sz w:val="22"/>
        </w:rPr>
        <w:t>IonQ and Symbotic were again the main drags, with Airbnb also not helping much. That made me think more carefully about the speculative sleeve. I still did not think there was an obvious thesis break, but those positions needed to prove themselves from here rather than just be given unlimited patience.</w:t>
      </w:r>
    </w:p>
    <w:p>
      <w:pPr>
        <w:spacing w:after="80" w:before="160" w:line="259" w:lineRule="auto"/>
      </w:pPr>
      <w:r>
        <w:rPr>
          <w:rFonts w:ascii="Aptos" w:hAnsi="Aptos"/>
          <w:b/>
          <w:i w:val="0"/>
          <w:sz w:val="24"/>
        </w:rPr>
        <w:t>The lesson I took</w:t>
      </w:r>
    </w:p>
    <w:p>
      <w:pPr>
        <w:spacing w:after="140" w:before="0" w:line="259" w:lineRule="auto"/>
      </w:pPr>
      <w:r>
        <w:rPr>
          <w:rFonts w:ascii="Aptos" w:hAnsi="Aptos"/>
          <w:b w:val="0"/>
          <w:i w:val="0"/>
          <w:sz w:val="22"/>
        </w:rPr>
        <w:t>The biggest lesson was not to confuse a bad mark-to-market with a bad process. The account was still down, but it was healthier than it had been before the rebalance because I had already cut some speculative exposure and added more to the steadier side.</w:t>
      </w:r>
    </w:p>
    <w:p>
      <w:pPr>
        <w:spacing w:after="140" w:before="0" w:line="259" w:lineRule="auto"/>
      </w:pPr>
      <w:r>
        <w:rPr>
          <w:rFonts w:ascii="Aptos" w:hAnsi="Aptos"/>
          <w:b w:val="0"/>
          <w:i w:val="0"/>
          <w:sz w:val="22"/>
        </w:rPr>
        <w:t>For now, the better move still looked like patience and discipline, not forcing new trades. I wanted to watch whether IonQ and Symbotic could stabilise, whether Meta, Alphabet and the ETFs could keep carrying the book, and whether gold plus the income names could continue to cushion volatility.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