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6 - The first signs of recovery</w:t>
      </w:r>
    </w:p>
    <w:p>
      <w:pPr>
        <w:spacing w:after="200" w:before="0" w:line="259" w:lineRule="auto"/>
      </w:pPr>
      <w:r>
        <w:rPr>
          <w:rFonts w:ascii="Aptos" w:hAnsi="Aptos"/>
          <w:b w:val="0"/>
          <w:i/>
          <w:sz w:val="20"/>
        </w:rPr>
        <w:t>Week ending 12 April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Portfolio value</w:t>
            </w:r>
          </w:p>
        </w:tc>
        <w:tc>
          <w:tcPr>
            <w:tcW w:type="dxa" w:w="4896"/>
            <w:vAlign w:val="center"/>
            <w:shd w:fill="FFFFFF"/>
          </w:tcPr>
          <w:p>
            <w:r/>
            <w:r>
              <w:rPr>
                <w:rFonts w:ascii="Aptos" w:hAnsi="Aptos"/>
                <w:b w:val="0"/>
                <w:sz w:val="19"/>
              </w:rPr>
              <w:t>Around £1,960</w:t>
            </w:r>
          </w:p>
        </w:tc>
      </w:tr>
      <w:tr>
        <w:tc>
          <w:tcPr>
            <w:tcW w:type="dxa" w:w="4896"/>
            <w:vAlign w:val="center"/>
            <w:shd w:fill="FFFFFF"/>
          </w:tcPr>
          <w:p>
            <w:r/>
            <w:r>
              <w:rPr>
                <w:rFonts w:ascii="Aptos" w:hAnsi="Aptos"/>
                <w:b/>
                <w:sz w:val="19"/>
              </w:rPr>
              <w:t>Cost base</w:t>
            </w:r>
          </w:p>
        </w:tc>
        <w:tc>
          <w:tcPr>
            <w:tcW w:type="dxa" w:w="4896"/>
            <w:vAlign w:val="center"/>
            <w:shd w:fill="FFFFFF"/>
          </w:tcPr>
          <w:p>
            <w:r/>
            <w:r>
              <w:rPr>
                <w:rFonts w:ascii="Aptos" w:hAnsi="Aptos"/>
                <w:b w:val="0"/>
                <w:sz w:val="19"/>
              </w:rPr>
              <w:t>Roughly £1,999</w:t>
            </w:r>
          </w:p>
        </w:tc>
      </w:tr>
      <w:tr>
        <w:tc>
          <w:tcPr>
            <w:tcW w:type="dxa" w:w="4896"/>
            <w:vAlign w:val="center"/>
            <w:shd w:fill="FFFFFF"/>
          </w:tcPr>
          <w:p>
            <w:r/>
            <w:r>
              <w:rPr>
                <w:rFonts w:ascii="Aptos" w:hAnsi="Aptos"/>
                <w:b/>
                <w:sz w:val="19"/>
              </w:rPr>
              <w:t>Main improvement</w:t>
            </w:r>
          </w:p>
        </w:tc>
        <w:tc>
          <w:tcPr>
            <w:tcW w:type="dxa" w:w="4896"/>
            <w:vAlign w:val="center"/>
            <w:shd w:fill="FFFFFF"/>
          </w:tcPr>
          <w:p>
            <w:r/>
            <w:r>
              <w:rPr>
                <w:rFonts w:ascii="Aptos" w:hAnsi="Aptos"/>
                <w:b w:val="0"/>
                <w:sz w:val="19"/>
              </w:rPr>
              <w:t>Most of the portfolio recovered apart from gold and Rheinmetall</w:t>
            </w:r>
          </w:p>
        </w:tc>
      </w:tr>
      <w:tr>
        <w:tc>
          <w:tcPr>
            <w:tcW w:type="dxa" w:w="4896"/>
            <w:vAlign w:val="center"/>
            <w:shd w:fill="FFFFFF"/>
          </w:tcPr>
          <w:p>
            <w:r/>
            <w:r>
              <w:rPr>
                <w:rFonts w:ascii="Aptos" w:hAnsi="Aptos"/>
                <w:b/>
                <w:sz w:val="19"/>
              </w:rPr>
              <w:t>Main lesson</w:t>
            </w:r>
          </w:p>
        </w:tc>
        <w:tc>
          <w:tcPr>
            <w:tcW w:type="dxa" w:w="4896"/>
            <w:vAlign w:val="center"/>
            <w:shd w:fill="FFFFFF"/>
          </w:tcPr>
          <w:p>
            <w:r/>
            <w:r>
              <w:rPr>
                <w:rFonts w:ascii="Aptos" w:hAnsi="Aptos"/>
                <w:b w:val="0"/>
                <w:sz w:val="19"/>
              </w:rPr>
              <w:t>Patience looked more sensible than overreacting</w:t>
            </w:r>
          </w:p>
        </w:tc>
      </w:tr>
    </w:tbl>
    <w:p/>
    <w:p>
      <w:pPr>
        <w:spacing w:after="80" w:before="160" w:line="259" w:lineRule="auto"/>
      </w:pPr>
      <w:r>
        <w:rPr>
          <w:rFonts w:ascii="Aptos" w:hAnsi="Aptos"/>
          <w:b/>
          <w:i w:val="0"/>
          <w:sz w:val="24"/>
        </w:rPr>
        <w:t>The account finally moved better</w:t>
      </w:r>
    </w:p>
    <w:p>
      <w:pPr>
        <w:spacing w:after="140" w:before="0" w:line="259" w:lineRule="auto"/>
      </w:pPr>
      <w:r>
        <w:rPr>
          <w:rFonts w:ascii="Aptos" w:hAnsi="Aptos"/>
          <w:b w:val="0"/>
          <w:i w:val="0"/>
          <w:sz w:val="22"/>
        </w:rPr>
        <w:t>Week 6 was a better week. The portfolio closed around £1,960, so it was still below the cost base, but it moved in the right direction and felt stronger than the previous few weeks. After seeing the account around the £1,860 area, even a partial recovery made the situation feel a lot more manageable.</w:t>
      </w:r>
    </w:p>
    <w:p>
      <w:pPr>
        <w:spacing w:after="140" w:before="0" w:line="259" w:lineRule="auto"/>
      </w:pPr>
      <w:r>
        <w:rPr>
          <w:rFonts w:ascii="Aptos" w:hAnsi="Aptos"/>
          <w:b w:val="0"/>
          <w:i w:val="0"/>
          <w:sz w:val="22"/>
        </w:rPr>
        <w:t>The week was still choppy, but most of the portfolio recovered apart from gold and Rheinmetall. That was useful because it showed the stronger parts of the account could still do their job when the market backdrop improved.</w:t>
      </w:r>
    </w:p>
    <w:p>
      <w:pPr>
        <w:spacing w:after="80" w:before="160" w:line="259" w:lineRule="auto"/>
      </w:pPr>
      <w:r>
        <w:rPr>
          <w:rFonts w:ascii="Aptos" w:hAnsi="Aptos"/>
          <w:b/>
          <w:i w:val="0"/>
          <w:sz w:val="24"/>
        </w:rPr>
        <w:t>Gold and Rheinmetall</w:t>
      </w:r>
    </w:p>
    <w:p>
      <w:pPr>
        <w:spacing w:after="140" w:before="0" w:line="259" w:lineRule="auto"/>
      </w:pPr>
      <w:r>
        <w:rPr>
          <w:rFonts w:ascii="Aptos" w:hAnsi="Aptos"/>
          <w:b w:val="0"/>
          <w:i w:val="0"/>
          <w:sz w:val="22"/>
        </w:rPr>
        <w:t>Gold was still down around 6% in the portfolio. I thought it could recover towards where we started if disruption around the Strait continued, but it was still frustrating because it had not protected the account in a clean way.</w:t>
      </w:r>
    </w:p>
    <w:p>
      <w:pPr>
        <w:spacing w:after="140" w:before="0" w:line="259" w:lineRule="auto"/>
      </w:pPr>
      <w:r>
        <w:rPr>
          <w:rFonts w:ascii="Aptos" w:hAnsi="Aptos"/>
          <w:b w:val="0"/>
          <w:i w:val="0"/>
          <w:sz w:val="22"/>
        </w:rPr>
        <w:t>Rheinmetall was weaker as the market seemed to be pricing in the idea that the Iran war could gradually cool off. Even so, I still thought the company had a strong balance sheet and a large order backlog, so I did not see the defence thesis as broken at that point.</w:t>
      </w:r>
    </w:p>
    <w:p>
      <w:pPr>
        <w:spacing w:after="80" w:before="160" w:line="259" w:lineRule="auto"/>
      </w:pPr>
      <w:r>
        <w:rPr>
          <w:rFonts w:ascii="Aptos" w:hAnsi="Aptos"/>
          <w:b/>
          <w:i w:val="0"/>
          <w:sz w:val="24"/>
        </w:rPr>
        <w:t>The main point</w:t>
      </w:r>
    </w:p>
    <w:p>
      <w:pPr>
        <w:spacing w:after="140" w:before="0" w:line="259" w:lineRule="auto"/>
      </w:pPr>
      <w:r>
        <w:rPr>
          <w:rFonts w:ascii="Aptos" w:hAnsi="Aptos"/>
          <w:b w:val="0"/>
          <w:i w:val="0"/>
          <w:sz w:val="22"/>
        </w:rPr>
        <w:t>The main lesson was that patience still looked more sensible than overreacting. After a few difficult weeks, it would have been easy to become too negative about the whole portfolio. But this week showed that when conditions improve, the stronger parts of the book can recover.</w:t>
      </w:r>
    </w:p>
    <w:p>
      <w:pPr>
        <w:spacing w:after="140" w:before="0" w:line="259" w:lineRule="auto"/>
      </w:pPr>
      <w:r>
        <w:rPr>
          <w:rFonts w:ascii="Aptos" w:hAnsi="Aptos"/>
          <w:b w:val="0"/>
          <w:i w:val="0"/>
          <w:sz w:val="22"/>
        </w:rPr>
        <w:t>I still needed to be hardest on IonQ and Symbotic because they were the least dependable positions. But the account itself looked more constructive than it had done before.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