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before="0" w:line="259" w:lineRule="auto"/>
      </w:pPr>
      <w:r>
        <w:rPr>
          <w:rFonts w:ascii="Aptos" w:hAnsi="Aptos"/>
          <w:b/>
          <w:i w:val="0"/>
          <w:sz w:val="32"/>
        </w:rPr>
        <w:t>Week 7 - Back above the starting line</w:t>
      </w:r>
    </w:p>
    <w:p>
      <w:pPr>
        <w:spacing w:after="200" w:before="0" w:line="259" w:lineRule="auto"/>
      </w:pPr>
      <w:r>
        <w:rPr>
          <w:rFonts w:ascii="Aptos" w:hAnsi="Aptos"/>
          <w:b w:val="0"/>
          <w:i/>
          <w:sz w:val="20"/>
        </w:rPr>
        <w:t>Week ending April 2026</w:t>
      </w:r>
    </w:p>
    <w:p>
      <w:pPr>
        <w:spacing w:after="80" w:before="160" w:line="259" w:lineRule="auto"/>
      </w:pPr>
      <w:r>
        <w:rPr>
          <w:rFonts w:ascii="Aptos" w:hAnsi="Aptos"/>
          <w:b/>
          <w:i w:val="0"/>
          <w:sz w:val="24"/>
        </w:rPr>
        <w:t>Snapshot</w:t>
      </w:r>
    </w:p>
    <w:tbl>
      <w:tblPr>
        <w:tblW w:type="auto" w:w="0"/>
        <w:jc w:val="left"/>
        <w:tblLayout w:type="autofit"/>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896"/>
        <w:gridCol w:w="4896"/>
      </w:tblGrid>
      <w:tr>
        <w:tc>
          <w:tcPr>
            <w:tcW w:type="dxa" w:w="4896"/>
            <w:vAlign w:val="center"/>
            <w:shd w:fill="FFFFFF"/>
          </w:tcPr>
          <w:p>
            <w:r/>
            <w:r>
              <w:rPr>
                <w:rFonts w:ascii="Aptos" w:hAnsi="Aptos"/>
                <w:b/>
                <w:sz w:val="19"/>
              </w:rPr>
              <w:t>Portfolio value</w:t>
            </w:r>
          </w:p>
        </w:tc>
        <w:tc>
          <w:tcPr>
            <w:tcW w:type="dxa" w:w="4896"/>
            <w:vAlign w:val="center"/>
            <w:shd w:fill="FFFFFF"/>
          </w:tcPr>
          <w:p>
            <w:r/>
            <w:r>
              <w:rPr>
                <w:rFonts w:ascii="Aptos" w:hAnsi="Aptos"/>
                <w:b w:val="0"/>
                <w:sz w:val="19"/>
              </w:rPr>
              <w:t>£2,025.84</w:t>
            </w:r>
          </w:p>
        </w:tc>
      </w:tr>
      <w:tr>
        <w:tc>
          <w:tcPr>
            <w:tcW w:type="dxa" w:w="4896"/>
            <w:vAlign w:val="center"/>
            <w:shd w:fill="FFFFFF"/>
          </w:tcPr>
          <w:p>
            <w:r/>
            <w:r>
              <w:rPr>
                <w:rFonts w:ascii="Aptos" w:hAnsi="Aptos"/>
                <w:b/>
                <w:sz w:val="19"/>
              </w:rPr>
              <w:t>Starting cost basis</w:t>
            </w:r>
          </w:p>
        </w:tc>
        <w:tc>
          <w:tcPr>
            <w:tcW w:type="dxa" w:w="4896"/>
            <w:vAlign w:val="center"/>
            <w:shd w:fill="FFFFFF"/>
          </w:tcPr>
          <w:p>
            <w:r/>
            <w:r>
              <w:rPr>
                <w:rFonts w:ascii="Aptos" w:hAnsi="Aptos"/>
                <w:b w:val="0"/>
                <w:sz w:val="19"/>
              </w:rPr>
              <w:t>£1,999</w:t>
            </w:r>
          </w:p>
        </w:tc>
      </w:tr>
      <w:tr>
        <w:tc>
          <w:tcPr>
            <w:tcW w:type="dxa" w:w="4896"/>
            <w:vAlign w:val="center"/>
            <w:shd w:fill="FFFFFF"/>
          </w:tcPr>
          <w:p>
            <w:r/>
            <w:r>
              <w:rPr>
                <w:rFonts w:ascii="Aptos" w:hAnsi="Aptos"/>
                <w:b/>
                <w:sz w:val="19"/>
              </w:rPr>
              <w:t>Overall result</w:t>
            </w:r>
          </w:p>
        </w:tc>
        <w:tc>
          <w:tcPr>
            <w:tcW w:type="dxa" w:w="4896"/>
            <w:vAlign w:val="center"/>
            <w:shd w:fill="FFFFFF"/>
          </w:tcPr>
          <w:p>
            <w:r/>
            <w:r>
              <w:rPr>
                <w:rFonts w:ascii="Aptos" w:hAnsi="Aptos"/>
                <w:b w:val="0"/>
                <w:sz w:val="19"/>
              </w:rPr>
              <w:t>+£26.84</w:t>
            </w:r>
          </w:p>
        </w:tc>
      </w:tr>
      <w:tr>
        <w:tc>
          <w:tcPr>
            <w:tcW w:type="dxa" w:w="4896"/>
            <w:vAlign w:val="center"/>
            <w:shd w:fill="FFFFFF"/>
          </w:tcPr>
          <w:p>
            <w:r/>
            <w:r>
              <w:rPr>
                <w:rFonts w:ascii="Aptos" w:hAnsi="Aptos"/>
                <w:b/>
                <w:sz w:val="19"/>
              </w:rPr>
              <w:t>Overall percentage</w:t>
            </w:r>
          </w:p>
        </w:tc>
        <w:tc>
          <w:tcPr>
            <w:tcW w:type="dxa" w:w="4896"/>
            <w:vAlign w:val="center"/>
            <w:shd w:fill="FFFFFF"/>
          </w:tcPr>
          <w:p>
            <w:r/>
            <w:r>
              <w:rPr>
                <w:rFonts w:ascii="Aptos" w:hAnsi="Aptos"/>
                <w:b w:val="0"/>
                <w:sz w:val="19"/>
              </w:rPr>
              <w:t>+1.34%</w:t>
            </w:r>
          </w:p>
        </w:tc>
      </w:tr>
      <w:tr>
        <w:tc>
          <w:tcPr>
            <w:tcW w:type="dxa" w:w="4896"/>
            <w:vAlign w:val="center"/>
            <w:shd w:fill="FFFFFF"/>
          </w:tcPr>
          <w:p>
            <w:r/>
            <w:r>
              <w:rPr>
                <w:rFonts w:ascii="Aptos" w:hAnsi="Aptos"/>
                <w:b/>
                <w:sz w:val="19"/>
              </w:rPr>
              <w:t>Main recovery names</w:t>
            </w:r>
          </w:p>
        </w:tc>
        <w:tc>
          <w:tcPr>
            <w:tcW w:type="dxa" w:w="4896"/>
            <w:vAlign w:val="center"/>
            <w:shd w:fill="FFFFFF"/>
          </w:tcPr>
          <w:p>
            <w:r/>
            <w:r>
              <w:rPr>
                <w:rFonts w:ascii="Aptos" w:hAnsi="Aptos"/>
                <w:b w:val="0"/>
                <w:sz w:val="19"/>
              </w:rPr>
              <w:t>Symbotic, Meta, Alphabet, ASML, QQQA and VUAG</w:t>
            </w:r>
          </w:p>
        </w:tc>
      </w:tr>
    </w:tbl>
    <w:p/>
    <w:p>
      <w:pPr>
        <w:spacing w:after="80" w:before="160" w:line="259" w:lineRule="auto"/>
      </w:pPr>
      <w:r>
        <w:rPr>
          <w:rFonts w:ascii="Aptos" w:hAnsi="Aptos"/>
          <w:b/>
          <w:i w:val="0"/>
          <w:sz w:val="24"/>
        </w:rPr>
        <w:t>A genuinely positive week</w:t>
      </w:r>
    </w:p>
    <w:p>
      <w:pPr>
        <w:spacing w:after="140" w:before="0" w:line="259" w:lineRule="auto"/>
      </w:pPr>
      <w:r>
        <w:rPr>
          <w:rFonts w:ascii="Aptos" w:hAnsi="Aptos"/>
          <w:b w:val="0"/>
          <w:i w:val="0"/>
          <w:sz w:val="22"/>
        </w:rPr>
        <w:t>Week 7 felt like the first properly positive week since the difficult period started. The account recovered to £2,025.84, which put it back above the starting cost basis of around £1,999. That was only a gain of £26.84, or 1.34%, but psychologically it mattered because the portfolio was no longer below the starting line.</w:t>
      </w:r>
    </w:p>
    <w:p>
      <w:pPr>
        <w:spacing w:after="140" w:before="0" w:line="259" w:lineRule="auto"/>
      </w:pPr>
      <w:r>
        <w:rPr>
          <w:rFonts w:ascii="Aptos" w:hAnsi="Aptos"/>
          <w:b w:val="0"/>
          <w:i w:val="0"/>
          <w:sz w:val="22"/>
        </w:rPr>
        <w:t>This did not feel like a random one-day bounce. It felt like the portfolio was improving properly. Symbotic, Meta, Alphabet, ASML, QQQA and VUAG all recovered, and that was encouraging because those names are important parts of the growth and technology side of the account.</w:t>
      </w:r>
    </w:p>
    <w:p>
      <w:pPr>
        <w:spacing w:after="80" w:before="160" w:line="259" w:lineRule="auto"/>
      </w:pPr>
      <w:r>
        <w:rPr>
          <w:rFonts w:ascii="Aptos" w:hAnsi="Aptos"/>
          <w:b/>
          <w:i w:val="0"/>
          <w:sz w:val="24"/>
        </w:rPr>
        <w:t>Why the week mattered</w:t>
      </w:r>
    </w:p>
    <w:p>
      <w:pPr>
        <w:spacing w:after="140" w:before="0" w:line="259" w:lineRule="auto"/>
      </w:pPr>
      <w:r>
        <w:rPr>
          <w:rFonts w:ascii="Aptos" w:hAnsi="Aptos"/>
          <w:b w:val="0"/>
          <w:i w:val="0"/>
          <w:sz w:val="22"/>
        </w:rPr>
        <w:t>The week showed that patience can pay off, but only when it is backed by discipline. It would have been easy to panic during the weaker weeks. Instead, I held the stronger parts of the portfolio and had already trimmed some speculative exposure earlier, which made the account feel more balanced when the recovery came.</w:t>
      </w:r>
    </w:p>
    <w:p>
      <w:pPr>
        <w:spacing w:after="140" w:before="0" w:line="259" w:lineRule="auto"/>
      </w:pPr>
      <w:r>
        <w:rPr>
          <w:rFonts w:ascii="Aptos" w:hAnsi="Aptos"/>
          <w:b w:val="0"/>
          <w:i w:val="0"/>
          <w:sz w:val="22"/>
        </w:rPr>
        <w:t>Symbotic was the most interesting position. It had been one of the more volatile names, so seeing it recover strongly was good. At the same time, because it can move so fast, it was also the name where I started thinking about whether it could make sense to lock in some gains if the market became choppy again.</w:t>
      </w:r>
    </w:p>
    <w:p>
      <w:pPr>
        <w:spacing w:after="80" w:before="160" w:line="259" w:lineRule="auto"/>
      </w:pPr>
      <w:r>
        <w:rPr>
          <w:rFonts w:ascii="Aptos" w:hAnsi="Aptos"/>
          <w:b/>
          <w:i w:val="0"/>
          <w:sz w:val="24"/>
        </w:rPr>
        <w:t>Still not getting carried away</w:t>
      </w:r>
    </w:p>
    <w:p>
      <w:pPr>
        <w:spacing w:after="140" w:before="0" w:line="259" w:lineRule="auto"/>
      </w:pPr>
      <w:r>
        <w:rPr>
          <w:rFonts w:ascii="Aptos" w:hAnsi="Aptos"/>
          <w:b w:val="0"/>
          <w:i w:val="0"/>
          <w:sz w:val="22"/>
        </w:rPr>
        <w:t>Even though the account was back above the starting value, I did not want to get too comfortable. The Middle East situation was still a major risk, especially around Iran and oil. If oil moved higher again, that could bring inflation and rate worries back into the market quickly.</w:t>
      </w:r>
    </w:p>
    <w:p>
      <w:pPr>
        <w:spacing w:after="140" w:before="0" w:line="259" w:lineRule="auto"/>
      </w:pPr>
      <w:r>
        <w:rPr>
          <w:rFonts w:ascii="Aptos" w:hAnsi="Aptos"/>
          <w:b w:val="0"/>
          <w:i w:val="0"/>
          <w:sz w:val="22"/>
        </w:rPr>
        <w:t>Gold was still down, but I continued to see SGLN as a hedge rather than something that had to perform every week. Rheinmetall was also still under pressure, although I did not think the long-term defence case had completely broken.</w:t>
      </w:r>
    </w:p>
    <w:p>
      <w:pPr>
        <w:spacing w:after="80" w:before="160" w:line="259" w:lineRule="auto"/>
      </w:pPr>
      <w:r>
        <w:rPr>
          <w:rFonts w:ascii="Aptos" w:hAnsi="Aptos"/>
          <w:b/>
          <w:i w:val="0"/>
          <w:sz w:val="24"/>
        </w:rPr>
        <w:t>What I wanted to do next</w:t>
      </w:r>
    </w:p>
    <w:p>
      <w:pPr>
        <w:spacing w:after="140" w:before="0" w:line="259" w:lineRule="auto"/>
      </w:pPr>
      <w:r>
        <w:rPr>
          <w:rFonts w:ascii="Aptos" w:hAnsi="Aptos"/>
          <w:b w:val="0"/>
          <w:i w:val="0"/>
          <w:sz w:val="22"/>
        </w:rPr>
        <w:t>The main decision was whether to protect some of the recent gains or just let the portfolio run. I did not want to sell for the sake of selling, especially because I was not completely sure where I would put the cash. But after a strong recovery, I also did not want to assume the market would keep moving in a straight line.</w:t>
      </w:r>
    </w:p>
    <w:p>
      <w:pPr>
        <w:spacing w:after="140" w:before="0" w:line="259" w:lineRule="auto"/>
      </w:pPr>
      <w:r>
        <w:rPr>
          <w:rFonts w:ascii="Aptos" w:hAnsi="Aptos"/>
          <w:b w:val="0"/>
          <w:i w:val="0"/>
          <w:sz w:val="22"/>
        </w:rPr>
        <w:t>The main lesson was simple: patience helped, but discipline is what made the patience sensible.</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