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59" w:lineRule="auto"/>
      </w:pPr>
      <w:r>
        <w:rPr>
          <w:rFonts w:ascii="Aptos" w:hAnsi="Aptos"/>
          <w:b/>
          <w:i w:val="0"/>
          <w:sz w:val="32"/>
        </w:rPr>
        <w:t>Week 8 - Holding the recovery</w:t>
      </w:r>
    </w:p>
    <w:p>
      <w:pPr>
        <w:spacing w:after="200" w:before="0" w:line="259" w:lineRule="auto"/>
      </w:pPr>
      <w:r>
        <w:rPr>
          <w:rFonts w:ascii="Aptos" w:hAnsi="Aptos"/>
          <w:b w:val="0"/>
          <w:i/>
          <w:sz w:val="20"/>
        </w:rPr>
        <w:t>Week ending 28 April 2026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Snapshot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Current portfolio value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£2,008.07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Week 7 portfolio value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£2,025.84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Weekly change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-£17.77 / -0.88%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Starting cost basis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£1,999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Overall result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+£9.07 / +0.45%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Last month move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About +£170 / +9.7%</w:t>
            </w:r>
          </w:p>
        </w:tc>
      </w:tr>
    </w:tbl>
    <w:p/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A cooler week after the recovery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Week 8 was more mixed. The account ended at £2,008.07, down from £2,025.84 the week before. So it was not another push higher, but it also did not undo the recovery. The portfolio was still just above the starting value, which mattered because a few weeks earlier it had been under much more pressure.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The bigger picture was still much better than it had been a month earlier. The account was up roughly £170 over the last month, which was about a 9.7% recovery. So the week was not exciting, but it was useful because the portfolio held most of the recent improvement.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What was still working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The main support was still coming from the growth and technology side. Alphabet, Meta, the Nasdaq ETF, the S&amp;P 500 ETF, ASML, Airbnb and Symbotic were helping keep the account around breakeven or slightly above the original cost base.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Alphabet was becoming one of the stronger positions, which was encouraging because it was meant to be a higher-quality core holding. Meta also still looked strong. Symbotic had recovered well from where it had been earlier, but I still did not want to treat one recovery as proof that the risk had disappeared.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What was annoying me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The main weak spots were Rheinmetall, SGLN, Realty Income and Berkshire. Rheinmetall was the biggest drag from a percentage point of view, and gold was still down despite being one of the largest positions in the portfolio.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Gold was frustrating because it had not helped as much as expected, but I still viewed it as a hedge. Realty Income also remained under pressure, although that still felt more connected to rates and sentiment than to a broken company thesis.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My positioning thoughts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I did not think Week 8 called for a major change by itself. The account was slightly down from Week 7, but still much better than it had been a month earlier. The main thing was to avoid forcing action just because the portfolio had cooled off.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The watchlist for the next week was clear: whether the winners could keep holding the account together, whether the weaker names would stabilise, and whether macro risks around oil, inflation and rates would come back into focus.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