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59" w:lineRule="auto"/>
      </w:pPr>
      <w:r>
        <w:rPr>
          <w:rFonts w:ascii="Aptos" w:hAnsi="Aptos"/>
          <w:b/>
          <w:i w:val="0"/>
          <w:sz w:val="32"/>
        </w:rPr>
        <w:t>Week 10 - Close to breakeven with cash on the side</w:t>
      </w:r>
    </w:p>
    <w:p>
      <w:pPr>
        <w:spacing w:after="200" w:before="0" w:line="259" w:lineRule="auto"/>
      </w:pPr>
      <w:r>
        <w:rPr>
          <w:rFonts w:ascii="Aptos" w:hAnsi="Aptos"/>
          <w:b w:val="0"/>
          <w:i/>
          <w:sz w:val="20"/>
        </w:rPr>
        <w:t>Week ending 11 May 2026</w:t>
      </w:r>
    </w:p>
    <w:p>
      <w:pPr>
        <w:spacing w:after="80" w:before="160" w:line="259" w:lineRule="auto"/>
      </w:pPr>
      <w:r>
        <w:rPr>
          <w:rFonts w:ascii="Aptos" w:hAnsi="Aptos"/>
          <w:b/>
          <w:i w:val="0"/>
          <w:sz w:val="24"/>
        </w:rPr>
        <w:t>Snapshot</w:t>
      </w:r>
    </w:p>
    <w:tbl>
      <w:tblPr>
        <w:tblW w:type="auto" w:w="0"/>
        <w:jc w:val="left"/>
        <w:tblLayout w:type="autofit"/>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896"/>
        <w:gridCol w:w="4896"/>
      </w:tblGrid>
      <w:tr>
        <w:tc>
          <w:tcPr>
            <w:tcW w:type="dxa" w:w="4896"/>
            <w:vAlign w:val="center"/>
            <w:shd w:fill="FFFFFF"/>
          </w:tcPr>
          <w:p>
            <w:r/>
            <w:r>
              <w:rPr>
                <w:rFonts w:ascii="Aptos" w:hAnsi="Aptos"/>
                <w:b/>
                <w:sz w:val="19"/>
              </w:rPr>
              <w:t>Estimated account value</w:t>
            </w:r>
          </w:p>
        </w:tc>
        <w:tc>
          <w:tcPr>
            <w:tcW w:type="dxa" w:w="4896"/>
            <w:vAlign w:val="center"/>
            <w:shd w:fill="FFFFFF"/>
          </w:tcPr>
          <w:p>
            <w:r/>
            <w:r>
              <w:rPr>
                <w:rFonts w:ascii="Aptos" w:hAnsi="Aptos"/>
                <w:b w:val="0"/>
                <w:sz w:val="19"/>
              </w:rPr>
              <w:t>£1,986.69</w:t>
            </w:r>
          </w:p>
        </w:tc>
      </w:tr>
      <w:tr>
        <w:tc>
          <w:tcPr>
            <w:tcW w:type="dxa" w:w="4896"/>
            <w:vAlign w:val="center"/>
            <w:shd w:fill="FFFFFF"/>
          </w:tcPr>
          <w:p>
            <w:r/>
            <w:r>
              <w:rPr>
                <w:rFonts w:ascii="Aptos" w:hAnsi="Aptos"/>
                <w:b/>
                <w:sz w:val="19"/>
              </w:rPr>
              <w:t>Invested amount</w:t>
            </w:r>
          </w:p>
        </w:tc>
        <w:tc>
          <w:tcPr>
            <w:tcW w:type="dxa" w:w="4896"/>
            <w:vAlign w:val="center"/>
            <w:shd w:fill="FFFFFF"/>
          </w:tcPr>
          <w:p>
            <w:r/>
            <w:r>
              <w:rPr>
                <w:rFonts w:ascii="Aptos" w:hAnsi="Aptos"/>
                <w:b w:val="0"/>
                <w:sz w:val="19"/>
              </w:rPr>
              <w:t>About £1,765.87</w:t>
            </w:r>
          </w:p>
        </w:tc>
      </w:tr>
      <w:tr>
        <w:tc>
          <w:tcPr>
            <w:tcW w:type="dxa" w:w="4896"/>
            <w:vAlign w:val="center"/>
            <w:shd w:fill="FFFFFF"/>
          </w:tcPr>
          <w:p>
            <w:r/>
            <w:r>
              <w:rPr>
                <w:rFonts w:ascii="Aptos" w:hAnsi="Aptos"/>
                <w:b/>
                <w:sz w:val="19"/>
              </w:rPr>
              <w:t>Cash</w:t>
            </w:r>
          </w:p>
        </w:tc>
        <w:tc>
          <w:tcPr>
            <w:tcW w:type="dxa" w:w="4896"/>
            <w:vAlign w:val="center"/>
            <w:shd w:fill="FFFFFF"/>
          </w:tcPr>
          <w:p>
            <w:r/>
            <w:r>
              <w:rPr>
                <w:rFonts w:ascii="Aptos" w:hAnsi="Aptos"/>
                <w:b w:val="0"/>
                <w:sz w:val="19"/>
              </w:rPr>
              <w:t>£220.82</w:t>
            </w:r>
          </w:p>
        </w:tc>
      </w:tr>
      <w:tr>
        <w:tc>
          <w:tcPr>
            <w:tcW w:type="dxa" w:w="4896"/>
            <w:vAlign w:val="center"/>
            <w:shd w:fill="FFFFFF"/>
          </w:tcPr>
          <w:p>
            <w:r/>
            <w:r>
              <w:rPr>
                <w:rFonts w:ascii="Aptos" w:hAnsi="Aptos"/>
                <w:b/>
                <w:sz w:val="19"/>
              </w:rPr>
              <w:t>Cash weight</w:t>
            </w:r>
          </w:p>
        </w:tc>
        <w:tc>
          <w:tcPr>
            <w:tcW w:type="dxa" w:w="4896"/>
            <w:vAlign w:val="center"/>
            <w:shd w:fill="FFFFFF"/>
          </w:tcPr>
          <w:p>
            <w:r/>
            <w:r>
              <w:rPr>
                <w:rFonts w:ascii="Aptos" w:hAnsi="Aptos"/>
                <w:b w:val="0"/>
                <w:sz w:val="19"/>
              </w:rPr>
              <w:t>11.12%</w:t>
            </w:r>
          </w:p>
        </w:tc>
      </w:tr>
      <w:tr>
        <w:tc>
          <w:tcPr>
            <w:tcW w:type="dxa" w:w="4896"/>
            <w:vAlign w:val="center"/>
            <w:shd w:fill="FFFFFF"/>
          </w:tcPr>
          <w:p>
            <w:r/>
            <w:r>
              <w:rPr>
                <w:rFonts w:ascii="Aptos" w:hAnsi="Aptos"/>
                <w:b/>
                <w:sz w:val="19"/>
              </w:rPr>
              <w:t>Main winners</w:t>
            </w:r>
          </w:p>
        </w:tc>
        <w:tc>
          <w:tcPr>
            <w:tcW w:type="dxa" w:w="4896"/>
            <w:vAlign w:val="center"/>
            <w:shd w:fill="FFFFFF"/>
          </w:tcPr>
          <w:p>
            <w:r/>
            <w:r>
              <w:rPr>
                <w:rFonts w:ascii="Aptos" w:hAnsi="Aptos"/>
                <w:b w:val="0"/>
                <w:sz w:val="19"/>
              </w:rPr>
              <w:t>QQQA, VUAG, ASML and Airbnb</w:t>
            </w:r>
          </w:p>
        </w:tc>
      </w:tr>
      <w:tr>
        <w:tc>
          <w:tcPr>
            <w:tcW w:type="dxa" w:w="4896"/>
            <w:vAlign w:val="center"/>
            <w:shd w:fill="FFFFFF"/>
          </w:tcPr>
          <w:p>
            <w:r/>
            <w:r>
              <w:rPr>
                <w:rFonts w:ascii="Aptos" w:hAnsi="Aptos"/>
                <w:b/>
                <w:sz w:val="19"/>
              </w:rPr>
              <w:t>Main drags</w:t>
            </w:r>
          </w:p>
        </w:tc>
        <w:tc>
          <w:tcPr>
            <w:tcW w:type="dxa" w:w="4896"/>
            <w:vAlign w:val="center"/>
            <w:shd w:fill="FFFFFF"/>
          </w:tcPr>
          <w:p>
            <w:r/>
            <w:r>
              <w:rPr>
                <w:rFonts w:ascii="Aptos" w:hAnsi="Aptos"/>
                <w:b w:val="0"/>
                <w:sz w:val="19"/>
              </w:rPr>
              <w:t>Gold, Rheinmetall, Realty Income and Meta</w:t>
            </w:r>
          </w:p>
        </w:tc>
      </w:tr>
    </w:tbl>
    <w:p/>
    <w:p>
      <w:pPr>
        <w:spacing w:after="80" w:before="160" w:line="259" w:lineRule="auto"/>
      </w:pPr>
      <w:r>
        <w:rPr>
          <w:rFonts w:ascii="Aptos" w:hAnsi="Aptos"/>
          <w:b/>
          <w:i w:val="0"/>
          <w:sz w:val="24"/>
        </w:rPr>
        <w:t>Where the portfolio stood</w:t>
      </w:r>
    </w:p>
    <w:p>
      <w:pPr>
        <w:spacing w:after="140" w:before="0" w:line="259" w:lineRule="auto"/>
      </w:pPr>
      <w:r>
        <w:rPr>
          <w:rFonts w:ascii="Aptos" w:hAnsi="Aptos"/>
          <w:b w:val="0"/>
          <w:i w:val="0"/>
          <w:sz w:val="22"/>
        </w:rPr>
        <w:t>Week 10 felt like a transition week. The account was sitting just below the £2,000 area after the Google sale and the latest movements in the remaining holdings. It was not in a bad place, but it was not in the same clean recovery position as Week 7 and Week 8 either.</w:t>
      </w:r>
    </w:p>
    <w:p>
      <w:pPr>
        <w:spacing w:after="140" w:before="0" w:line="259" w:lineRule="auto"/>
      </w:pPr>
      <w:r>
        <w:rPr>
          <w:rFonts w:ascii="Aptos" w:hAnsi="Aptos"/>
          <w:b w:val="0"/>
          <w:i w:val="0"/>
          <w:sz w:val="22"/>
        </w:rPr>
        <w:t>The important change was that cash had become a meaningful part of the portfolio. I had around £220.82 in cash, or about 11.12% of the account, which gave me dry powder for a possible Google re-entry. That flexibility was useful, but it also meant I had less exposure to one of the strongest large-cap AI names while the market was still rewarding AI-linked businesses.</w:t>
      </w:r>
    </w:p>
    <w:p>
      <w:pPr>
        <w:spacing w:after="80" w:before="160" w:line="259" w:lineRule="auto"/>
      </w:pPr>
      <w:r>
        <w:rPr>
          <w:rFonts w:ascii="Aptos" w:hAnsi="Aptos"/>
          <w:b/>
          <w:i w:val="0"/>
          <w:sz w:val="24"/>
        </w:rPr>
        <w:t>The strongest and weakest areas</w:t>
      </w:r>
    </w:p>
    <w:p>
      <w:pPr>
        <w:spacing w:after="140" w:before="0" w:line="259" w:lineRule="auto"/>
      </w:pPr>
      <w:r>
        <w:rPr>
          <w:rFonts w:ascii="Aptos" w:hAnsi="Aptos"/>
          <w:b w:val="0"/>
          <w:i w:val="0"/>
          <w:sz w:val="22"/>
        </w:rPr>
        <w:t>The strongest part of the account was still the broad-market and AI infrastructure sleeve. QQQA, VUAG and ASML were doing most of the work in keeping the portfolio close to breakeven. Airbnb also looked healthier than it had earlier in the period.</w:t>
      </w:r>
    </w:p>
    <w:p>
      <w:pPr>
        <w:spacing w:after="140" w:before="0" w:line="259" w:lineRule="auto"/>
      </w:pPr>
      <w:r>
        <w:rPr>
          <w:rFonts w:ascii="Aptos" w:hAnsi="Aptos"/>
          <w:b w:val="0"/>
          <w:i w:val="0"/>
          <w:sz w:val="22"/>
        </w:rPr>
        <w:t>The weak spots were gold, Rheinmetall, Realty Income and Meta. Gold was the largest holding and one of the biggest drags, down 9.28%. Rheinmetall was down 25.96%, which made it the clearest percentage loser. Realty Income was still being affected by rates, and Meta was down even though I still liked the business long term.</w:t>
      </w:r>
    </w:p>
    <w:p>
      <w:pPr>
        <w:spacing w:after="80" w:before="160" w:line="259" w:lineRule="auto"/>
      </w:pPr>
      <w:r>
        <w:rPr>
          <w:rFonts w:ascii="Aptos" w:hAnsi="Aptos"/>
          <w:b/>
          <w:i w:val="0"/>
          <w:sz w:val="24"/>
        </w:rPr>
        <w:t>Position notes</w:t>
      </w:r>
    </w:p>
    <w:tbl>
      <w:tblPr>
        <w:tblW w:type="auto" w:w="0"/>
        <w:jc w:val="left"/>
        <w:tblLayout w:type="autofit"/>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448"/>
        <w:gridCol w:w="2448"/>
        <w:gridCol w:w="2448"/>
        <w:gridCol w:w="2448"/>
      </w:tblGrid>
      <w:tr>
        <w:tc>
          <w:tcPr>
            <w:tcW w:type="dxa" w:w="2448"/>
            <w:vAlign w:val="center"/>
            <w:shd w:fill="FFFFFF"/>
          </w:tcPr>
          <w:p>
            <w:r/>
            <w:r>
              <w:rPr>
                <w:rFonts w:ascii="Aptos" w:hAnsi="Aptos"/>
                <w:b/>
                <w:sz w:val="19"/>
              </w:rPr>
              <w:t>Holding</w:t>
            </w:r>
          </w:p>
        </w:tc>
        <w:tc>
          <w:tcPr>
            <w:tcW w:type="dxa" w:w="2448"/>
            <w:vAlign w:val="center"/>
            <w:shd w:fill="FFFFFF"/>
          </w:tcPr>
          <w:p>
            <w:r/>
            <w:r>
              <w:rPr>
                <w:rFonts w:ascii="Aptos" w:hAnsi="Aptos"/>
                <w:b/>
                <w:sz w:val="19"/>
              </w:rPr>
              <w:t>Value</w:t>
            </w:r>
          </w:p>
        </w:tc>
        <w:tc>
          <w:tcPr>
            <w:tcW w:type="dxa" w:w="2448"/>
            <w:vAlign w:val="center"/>
            <w:shd w:fill="FFFFFF"/>
          </w:tcPr>
          <w:p>
            <w:r/>
            <w:r>
              <w:rPr>
                <w:rFonts w:ascii="Aptos" w:hAnsi="Aptos"/>
                <w:b/>
                <w:sz w:val="19"/>
              </w:rPr>
              <w:t>Weight</w:t>
            </w:r>
          </w:p>
        </w:tc>
        <w:tc>
          <w:tcPr>
            <w:tcW w:type="dxa" w:w="2448"/>
            <w:vAlign w:val="center"/>
            <w:shd w:fill="FFFFFF"/>
          </w:tcPr>
          <w:p>
            <w:r/>
            <w:r>
              <w:rPr>
                <w:rFonts w:ascii="Aptos" w:hAnsi="Aptos"/>
                <w:b/>
                <w:sz w:val="19"/>
              </w:rPr>
              <w:t>Current P/L / note</w:t>
            </w:r>
          </w:p>
        </w:tc>
      </w:tr>
      <w:tr>
        <w:tc>
          <w:tcPr>
            <w:tcW w:type="dxa" w:w="2448"/>
            <w:vAlign w:val="center"/>
            <w:shd w:fill="FFFFFF"/>
          </w:tcPr>
          <w:p>
            <w:r/>
            <w:r>
              <w:rPr>
                <w:rFonts w:ascii="Aptos" w:hAnsi="Aptos"/>
                <w:b w:val="0"/>
                <w:sz w:val="19"/>
              </w:rPr>
              <w:t>Cash</w:t>
            </w:r>
          </w:p>
        </w:tc>
        <w:tc>
          <w:tcPr>
            <w:tcW w:type="dxa" w:w="2448"/>
            <w:vAlign w:val="center"/>
            <w:shd w:fill="FFFFFF"/>
          </w:tcPr>
          <w:p>
            <w:r/>
            <w:r>
              <w:rPr>
                <w:rFonts w:ascii="Aptos" w:hAnsi="Aptos"/>
                <w:b w:val="0"/>
                <w:sz w:val="19"/>
              </w:rPr>
              <w:t>£220.82</w:t>
            </w:r>
          </w:p>
        </w:tc>
        <w:tc>
          <w:tcPr>
            <w:tcW w:type="dxa" w:w="2448"/>
            <w:vAlign w:val="center"/>
            <w:shd w:fill="FFFFFF"/>
          </w:tcPr>
          <w:p>
            <w:r/>
            <w:r>
              <w:rPr>
                <w:rFonts w:ascii="Aptos" w:hAnsi="Aptos"/>
                <w:b w:val="0"/>
                <w:sz w:val="19"/>
              </w:rPr>
              <w:t>11.12%</w:t>
            </w:r>
          </w:p>
        </w:tc>
        <w:tc>
          <w:tcPr>
            <w:tcW w:type="dxa" w:w="2448"/>
            <w:vAlign w:val="center"/>
            <w:shd w:fill="FFFFFF"/>
          </w:tcPr>
          <w:p>
            <w:r/>
            <w:r>
              <w:rPr>
                <w:rFonts w:ascii="Aptos" w:hAnsi="Aptos"/>
                <w:b w:val="0"/>
                <w:sz w:val="19"/>
              </w:rPr>
              <w:t>Dry powder for Google re-entry</w:t>
            </w:r>
          </w:p>
        </w:tc>
      </w:tr>
      <w:tr>
        <w:tc>
          <w:tcPr>
            <w:tcW w:type="dxa" w:w="2448"/>
            <w:vAlign w:val="center"/>
            <w:shd w:fill="FFFFFF"/>
          </w:tcPr>
          <w:p>
            <w:r/>
            <w:r>
              <w:rPr>
                <w:rFonts w:ascii="Aptos" w:hAnsi="Aptos"/>
                <w:b w:val="0"/>
                <w:sz w:val="19"/>
              </w:rPr>
              <w:t>SGLN / Gold</w:t>
            </w:r>
          </w:p>
        </w:tc>
        <w:tc>
          <w:tcPr>
            <w:tcW w:type="dxa" w:w="2448"/>
            <w:vAlign w:val="center"/>
            <w:shd w:fill="FFFFFF"/>
          </w:tcPr>
          <w:p>
            <w:r/>
            <w:r>
              <w:rPr>
                <w:rFonts w:ascii="Aptos" w:hAnsi="Aptos"/>
                <w:b w:val="0"/>
                <w:sz w:val="19"/>
              </w:rPr>
              <w:t>£314.07</w:t>
            </w:r>
          </w:p>
        </w:tc>
        <w:tc>
          <w:tcPr>
            <w:tcW w:type="dxa" w:w="2448"/>
            <w:vAlign w:val="center"/>
            <w:shd w:fill="FFFFFF"/>
          </w:tcPr>
          <w:p>
            <w:r/>
            <w:r>
              <w:rPr>
                <w:rFonts w:ascii="Aptos" w:hAnsi="Aptos"/>
                <w:b w:val="0"/>
                <w:sz w:val="19"/>
              </w:rPr>
              <w:t>17.79%</w:t>
            </w:r>
          </w:p>
        </w:tc>
        <w:tc>
          <w:tcPr>
            <w:tcW w:type="dxa" w:w="2448"/>
            <w:vAlign w:val="center"/>
            <w:shd w:fill="FFFFFF"/>
          </w:tcPr>
          <w:p>
            <w:r/>
            <w:r>
              <w:rPr>
                <w:rFonts w:ascii="Aptos" w:hAnsi="Aptos"/>
                <w:b w:val="0"/>
                <w:sz w:val="19"/>
              </w:rPr>
              <w:t>-£32.13 / -9.28%</w:t>
            </w:r>
          </w:p>
        </w:tc>
      </w:tr>
      <w:tr>
        <w:tc>
          <w:tcPr>
            <w:tcW w:type="dxa" w:w="2448"/>
            <w:vAlign w:val="center"/>
            <w:shd w:fill="FFFFFF"/>
          </w:tcPr>
          <w:p>
            <w:r/>
            <w:r>
              <w:rPr>
                <w:rFonts w:ascii="Aptos" w:hAnsi="Aptos"/>
                <w:b w:val="0"/>
                <w:sz w:val="19"/>
              </w:rPr>
              <w:t>Meta Platforms</w:t>
            </w:r>
          </w:p>
        </w:tc>
        <w:tc>
          <w:tcPr>
            <w:tcW w:type="dxa" w:w="2448"/>
            <w:vAlign w:val="center"/>
            <w:shd w:fill="FFFFFF"/>
          </w:tcPr>
          <w:p>
            <w:r/>
            <w:r>
              <w:rPr>
                <w:rFonts w:ascii="Aptos" w:hAnsi="Aptos"/>
                <w:b w:val="0"/>
                <w:sz w:val="19"/>
              </w:rPr>
              <w:t>£231.97</w:t>
            </w:r>
          </w:p>
        </w:tc>
        <w:tc>
          <w:tcPr>
            <w:tcW w:type="dxa" w:w="2448"/>
            <w:vAlign w:val="center"/>
            <w:shd w:fill="FFFFFF"/>
          </w:tcPr>
          <w:p>
            <w:r/>
            <w:r>
              <w:rPr>
                <w:rFonts w:ascii="Aptos" w:hAnsi="Aptos"/>
                <w:b w:val="0"/>
                <w:sz w:val="19"/>
              </w:rPr>
              <w:t>13.14%</w:t>
            </w:r>
          </w:p>
        </w:tc>
        <w:tc>
          <w:tcPr>
            <w:tcW w:type="dxa" w:w="2448"/>
            <w:vAlign w:val="center"/>
            <w:shd w:fill="FFFFFF"/>
          </w:tcPr>
          <w:p>
            <w:r/>
            <w:r>
              <w:rPr>
                <w:rFonts w:ascii="Aptos" w:hAnsi="Aptos"/>
                <w:b w:val="0"/>
                <w:sz w:val="19"/>
              </w:rPr>
              <w:t>-£13.93 / -5.66%</w:t>
            </w:r>
          </w:p>
        </w:tc>
      </w:tr>
      <w:tr>
        <w:tc>
          <w:tcPr>
            <w:tcW w:type="dxa" w:w="2448"/>
            <w:vAlign w:val="center"/>
            <w:shd w:fill="FFFFFF"/>
          </w:tcPr>
          <w:p>
            <w:r/>
            <w:r>
              <w:rPr>
                <w:rFonts w:ascii="Aptos" w:hAnsi="Aptos"/>
                <w:b w:val="0"/>
                <w:sz w:val="19"/>
              </w:rPr>
              <w:t>VUAG / S&amp;P 500</w:t>
            </w:r>
          </w:p>
        </w:tc>
        <w:tc>
          <w:tcPr>
            <w:tcW w:type="dxa" w:w="2448"/>
            <w:vAlign w:val="center"/>
            <w:shd w:fill="FFFFFF"/>
          </w:tcPr>
          <w:p>
            <w:r/>
            <w:r>
              <w:rPr>
                <w:rFonts w:ascii="Aptos" w:hAnsi="Aptos"/>
                <w:b w:val="0"/>
                <w:sz w:val="19"/>
              </w:rPr>
              <w:t>£213.20</w:t>
            </w:r>
          </w:p>
        </w:tc>
        <w:tc>
          <w:tcPr>
            <w:tcW w:type="dxa" w:w="2448"/>
            <w:vAlign w:val="center"/>
            <w:shd w:fill="FFFFFF"/>
          </w:tcPr>
          <w:p>
            <w:r/>
            <w:r>
              <w:rPr>
                <w:rFonts w:ascii="Aptos" w:hAnsi="Aptos"/>
                <w:b w:val="0"/>
                <w:sz w:val="19"/>
              </w:rPr>
              <w:t>12.07%</w:t>
            </w:r>
          </w:p>
        </w:tc>
        <w:tc>
          <w:tcPr>
            <w:tcW w:type="dxa" w:w="2448"/>
            <w:vAlign w:val="center"/>
            <w:shd w:fill="FFFFFF"/>
          </w:tcPr>
          <w:p>
            <w:r/>
            <w:r>
              <w:rPr>
                <w:rFonts w:ascii="Aptos" w:hAnsi="Aptos"/>
                <w:b w:val="0"/>
                <w:sz w:val="19"/>
              </w:rPr>
              <w:t>+£15.20 / +7.68%</w:t>
            </w:r>
          </w:p>
        </w:tc>
      </w:tr>
      <w:tr>
        <w:tc>
          <w:tcPr>
            <w:tcW w:type="dxa" w:w="2448"/>
            <w:vAlign w:val="center"/>
            <w:shd w:fill="FFFFFF"/>
          </w:tcPr>
          <w:p>
            <w:r/>
            <w:r>
              <w:rPr>
                <w:rFonts w:ascii="Aptos" w:hAnsi="Aptos"/>
                <w:b w:val="0"/>
                <w:sz w:val="19"/>
              </w:rPr>
              <w:t>QQQA / Nasdaq 100</w:t>
            </w:r>
          </w:p>
        </w:tc>
        <w:tc>
          <w:tcPr>
            <w:tcW w:type="dxa" w:w="2448"/>
            <w:vAlign w:val="center"/>
            <w:shd w:fill="FFFFFF"/>
          </w:tcPr>
          <w:p>
            <w:r/>
            <w:r>
              <w:rPr>
                <w:rFonts w:ascii="Aptos" w:hAnsi="Aptos"/>
                <w:b w:val="0"/>
                <w:sz w:val="19"/>
              </w:rPr>
              <w:t>£163.78</w:t>
            </w:r>
          </w:p>
        </w:tc>
        <w:tc>
          <w:tcPr>
            <w:tcW w:type="dxa" w:w="2448"/>
            <w:vAlign w:val="center"/>
            <w:shd w:fill="FFFFFF"/>
          </w:tcPr>
          <w:p>
            <w:r/>
            <w:r>
              <w:rPr>
                <w:rFonts w:ascii="Aptos" w:hAnsi="Aptos"/>
                <w:b w:val="0"/>
                <w:sz w:val="19"/>
              </w:rPr>
              <w:t>9.27%</w:t>
            </w:r>
          </w:p>
        </w:tc>
        <w:tc>
          <w:tcPr>
            <w:tcW w:type="dxa" w:w="2448"/>
            <w:vAlign w:val="center"/>
            <w:shd w:fill="FFFFFF"/>
          </w:tcPr>
          <w:p>
            <w:r/>
            <w:r>
              <w:rPr>
                <w:rFonts w:ascii="Aptos" w:hAnsi="Aptos"/>
                <w:b w:val="0"/>
                <w:sz w:val="19"/>
              </w:rPr>
              <w:t>+£23.92 / +17.10%</w:t>
            </w:r>
          </w:p>
        </w:tc>
      </w:tr>
      <w:tr>
        <w:tc>
          <w:tcPr>
            <w:tcW w:type="dxa" w:w="2448"/>
            <w:vAlign w:val="center"/>
            <w:shd w:fill="FFFFFF"/>
          </w:tcPr>
          <w:p>
            <w:r/>
            <w:r>
              <w:rPr>
                <w:rFonts w:ascii="Aptos" w:hAnsi="Aptos"/>
                <w:b w:val="0"/>
                <w:sz w:val="19"/>
              </w:rPr>
              <w:t>Realty Income</w:t>
            </w:r>
          </w:p>
        </w:tc>
        <w:tc>
          <w:tcPr>
            <w:tcW w:type="dxa" w:w="2448"/>
            <w:vAlign w:val="center"/>
            <w:shd w:fill="FFFFFF"/>
          </w:tcPr>
          <w:p>
            <w:r/>
            <w:r>
              <w:rPr>
                <w:rFonts w:ascii="Aptos" w:hAnsi="Aptos"/>
                <w:b w:val="0"/>
                <w:sz w:val="19"/>
              </w:rPr>
              <w:t>£149.13</w:t>
            </w:r>
          </w:p>
        </w:tc>
        <w:tc>
          <w:tcPr>
            <w:tcW w:type="dxa" w:w="2448"/>
            <w:vAlign w:val="center"/>
            <w:shd w:fill="FFFFFF"/>
          </w:tcPr>
          <w:p>
            <w:r/>
            <w:r>
              <w:rPr>
                <w:rFonts w:ascii="Aptos" w:hAnsi="Aptos"/>
                <w:b w:val="0"/>
                <w:sz w:val="19"/>
              </w:rPr>
              <w:t>8.45%</w:t>
            </w:r>
          </w:p>
        </w:tc>
        <w:tc>
          <w:tcPr>
            <w:tcW w:type="dxa" w:w="2448"/>
            <w:vAlign w:val="center"/>
            <w:shd w:fill="FFFFFF"/>
          </w:tcPr>
          <w:p>
            <w:r/>
            <w:r>
              <w:rPr>
                <w:rFonts w:ascii="Aptos" w:hAnsi="Aptos"/>
                <w:b w:val="0"/>
                <w:sz w:val="19"/>
              </w:rPr>
              <w:t>-£12.51 / -7.74%</w:t>
            </w:r>
          </w:p>
        </w:tc>
      </w:tr>
      <w:tr>
        <w:tc>
          <w:tcPr>
            <w:tcW w:type="dxa" w:w="2448"/>
            <w:vAlign w:val="center"/>
            <w:shd w:fill="FFFFFF"/>
          </w:tcPr>
          <w:p>
            <w:r/>
            <w:r>
              <w:rPr>
                <w:rFonts w:ascii="Aptos" w:hAnsi="Aptos"/>
                <w:b w:val="0"/>
                <w:sz w:val="19"/>
              </w:rPr>
              <w:t>NextEra Energy</w:t>
            </w:r>
          </w:p>
        </w:tc>
        <w:tc>
          <w:tcPr>
            <w:tcW w:type="dxa" w:w="2448"/>
            <w:vAlign w:val="center"/>
            <w:shd w:fill="FFFFFF"/>
          </w:tcPr>
          <w:p>
            <w:r/>
            <w:r>
              <w:rPr>
                <w:rFonts w:ascii="Aptos" w:hAnsi="Aptos"/>
                <w:b w:val="0"/>
                <w:sz w:val="19"/>
              </w:rPr>
              <w:t>£139.36</w:t>
            </w:r>
          </w:p>
        </w:tc>
        <w:tc>
          <w:tcPr>
            <w:tcW w:type="dxa" w:w="2448"/>
            <w:vAlign w:val="center"/>
            <w:shd w:fill="FFFFFF"/>
          </w:tcPr>
          <w:p>
            <w:r/>
            <w:r>
              <w:rPr>
                <w:rFonts w:ascii="Aptos" w:hAnsi="Aptos"/>
                <w:b w:val="0"/>
                <w:sz w:val="19"/>
              </w:rPr>
              <w:t>7.89%</w:t>
            </w:r>
          </w:p>
        </w:tc>
        <w:tc>
          <w:tcPr>
            <w:tcW w:type="dxa" w:w="2448"/>
            <w:vAlign w:val="center"/>
            <w:shd w:fill="FFFFFF"/>
          </w:tcPr>
          <w:p>
            <w:r/>
            <w:r>
              <w:rPr>
                <w:rFonts w:ascii="Aptos" w:hAnsi="Aptos"/>
                <w:b w:val="0"/>
                <w:sz w:val="19"/>
              </w:rPr>
              <w:t>-£0.19 / -0.14%</w:t>
            </w:r>
          </w:p>
        </w:tc>
      </w:tr>
      <w:tr>
        <w:tc>
          <w:tcPr>
            <w:tcW w:type="dxa" w:w="2448"/>
            <w:vAlign w:val="center"/>
            <w:shd w:fill="FFFFFF"/>
          </w:tcPr>
          <w:p>
            <w:r/>
            <w:r>
              <w:rPr>
                <w:rFonts w:ascii="Aptos" w:hAnsi="Aptos"/>
                <w:b w:val="0"/>
                <w:sz w:val="19"/>
              </w:rPr>
              <w:t>Berkshire Hathaway</w:t>
            </w:r>
          </w:p>
        </w:tc>
        <w:tc>
          <w:tcPr>
            <w:tcW w:type="dxa" w:w="2448"/>
            <w:vAlign w:val="center"/>
            <w:shd w:fill="FFFFFF"/>
          </w:tcPr>
          <w:p>
            <w:r/>
            <w:r>
              <w:rPr>
                <w:rFonts w:ascii="Aptos" w:hAnsi="Aptos"/>
                <w:b w:val="0"/>
                <w:sz w:val="19"/>
              </w:rPr>
              <w:t>£135.98</w:t>
            </w:r>
          </w:p>
        </w:tc>
        <w:tc>
          <w:tcPr>
            <w:tcW w:type="dxa" w:w="2448"/>
            <w:vAlign w:val="center"/>
            <w:shd w:fill="FFFFFF"/>
          </w:tcPr>
          <w:p>
            <w:r/>
            <w:r>
              <w:rPr>
                <w:rFonts w:ascii="Aptos" w:hAnsi="Aptos"/>
                <w:b w:val="0"/>
                <w:sz w:val="19"/>
              </w:rPr>
              <w:t>7.70%</w:t>
            </w:r>
          </w:p>
        </w:tc>
        <w:tc>
          <w:tcPr>
            <w:tcW w:type="dxa" w:w="2448"/>
            <w:vAlign w:val="center"/>
            <w:shd w:fill="FFFFFF"/>
          </w:tcPr>
          <w:p>
            <w:r/>
            <w:r>
              <w:rPr>
                <w:rFonts w:ascii="Aptos" w:hAnsi="Aptos"/>
                <w:b w:val="0"/>
                <w:sz w:val="19"/>
              </w:rPr>
              <w:t>-£3.69 / -2.64%</w:t>
            </w:r>
          </w:p>
        </w:tc>
      </w:tr>
      <w:tr>
        <w:tc>
          <w:tcPr>
            <w:tcW w:type="dxa" w:w="2448"/>
            <w:vAlign w:val="center"/>
            <w:shd w:fill="FFFFFF"/>
          </w:tcPr>
          <w:p>
            <w:r/>
            <w:r>
              <w:rPr>
                <w:rFonts w:ascii="Aptos" w:hAnsi="Aptos"/>
                <w:b w:val="0"/>
                <w:sz w:val="19"/>
              </w:rPr>
              <w:t>ASML</w:t>
            </w:r>
          </w:p>
        </w:tc>
        <w:tc>
          <w:tcPr>
            <w:tcW w:type="dxa" w:w="2448"/>
            <w:vAlign w:val="center"/>
            <w:shd w:fill="FFFFFF"/>
          </w:tcPr>
          <w:p>
            <w:r/>
            <w:r>
              <w:rPr>
                <w:rFonts w:ascii="Aptos" w:hAnsi="Aptos"/>
                <w:b w:val="0"/>
                <w:sz w:val="19"/>
              </w:rPr>
              <w:t>£135.65</w:t>
            </w:r>
          </w:p>
        </w:tc>
        <w:tc>
          <w:tcPr>
            <w:tcW w:type="dxa" w:w="2448"/>
            <w:vAlign w:val="center"/>
            <w:shd w:fill="FFFFFF"/>
          </w:tcPr>
          <w:p>
            <w:r/>
            <w:r>
              <w:rPr>
                <w:rFonts w:ascii="Aptos" w:hAnsi="Aptos"/>
                <w:b w:val="0"/>
                <w:sz w:val="19"/>
              </w:rPr>
              <w:t>7.68%</w:t>
            </w:r>
          </w:p>
        </w:tc>
        <w:tc>
          <w:tcPr>
            <w:tcW w:type="dxa" w:w="2448"/>
            <w:vAlign w:val="center"/>
            <w:shd w:fill="FFFFFF"/>
          </w:tcPr>
          <w:p>
            <w:r/>
            <w:r>
              <w:rPr>
                <w:rFonts w:ascii="Aptos" w:hAnsi="Aptos"/>
                <w:b w:val="0"/>
                <w:sz w:val="19"/>
              </w:rPr>
              <w:t>+£16.15 / +13.51%</w:t>
            </w:r>
          </w:p>
        </w:tc>
      </w:tr>
      <w:tr>
        <w:tc>
          <w:tcPr>
            <w:tcW w:type="dxa" w:w="2448"/>
            <w:vAlign w:val="center"/>
            <w:shd w:fill="FFFFFF"/>
          </w:tcPr>
          <w:p>
            <w:r/>
            <w:r>
              <w:rPr>
                <w:rFonts w:ascii="Aptos" w:hAnsi="Aptos"/>
                <w:b w:val="0"/>
                <w:sz w:val="19"/>
              </w:rPr>
              <w:t>Airbnb</w:t>
            </w:r>
          </w:p>
        </w:tc>
        <w:tc>
          <w:tcPr>
            <w:tcW w:type="dxa" w:w="2448"/>
            <w:vAlign w:val="center"/>
            <w:shd w:fill="FFFFFF"/>
          </w:tcPr>
          <w:p>
            <w:r/>
            <w:r>
              <w:rPr>
                <w:rFonts w:ascii="Aptos" w:hAnsi="Aptos"/>
                <w:b w:val="0"/>
                <w:sz w:val="19"/>
              </w:rPr>
              <w:t>£126.69</w:t>
            </w:r>
          </w:p>
        </w:tc>
        <w:tc>
          <w:tcPr>
            <w:tcW w:type="dxa" w:w="2448"/>
            <w:vAlign w:val="center"/>
            <w:shd w:fill="FFFFFF"/>
          </w:tcPr>
          <w:p>
            <w:r/>
            <w:r>
              <w:rPr>
                <w:rFonts w:ascii="Aptos" w:hAnsi="Aptos"/>
                <w:b w:val="0"/>
                <w:sz w:val="19"/>
              </w:rPr>
              <w:t>7.17%</w:t>
            </w:r>
          </w:p>
        </w:tc>
        <w:tc>
          <w:tcPr>
            <w:tcW w:type="dxa" w:w="2448"/>
            <w:vAlign w:val="center"/>
            <w:shd w:fill="FFFFFF"/>
          </w:tcPr>
          <w:p>
            <w:r/>
            <w:r>
              <w:rPr>
                <w:rFonts w:ascii="Aptos" w:hAnsi="Aptos"/>
                <w:b w:val="0"/>
                <w:sz w:val="19"/>
              </w:rPr>
              <w:t>+£7.13 / +5.96%</w:t>
            </w:r>
          </w:p>
        </w:tc>
      </w:tr>
      <w:tr>
        <w:tc>
          <w:tcPr>
            <w:tcW w:type="dxa" w:w="2448"/>
            <w:vAlign w:val="center"/>
            <w:shd w:fill="FFFFFF"/>
          </w:tcPr>
          <w:p>
            <w:r/>
            <w:r>
              <w:rPr>
                <w:rFonts w:ascii="Aptos" w:hAnsi="Aptos"/>
                <w:b w:val="0"/>
                <w:sz w:val="19"/>
              </w:rPr>
              <w:t>Rheinmetall</w:t>
            </w:r>
          </w:p>
        </w:tc>
        <w:tc>
          <w:tcPr>
            <w:tcW w:type="dxa" w:w="2448"/>
            <w:vAlign w:val="center"/>
            <w:shd w:fill="FFFFFF"/>
          </w:tcPr>
          <w:p>
            <w:r/>
            <w:r>
              <w:rPr>
                <w:rFonts w:ascii="Aptos" w:hAnsi="Aptos"/>
                <w:b w:val="0"/>
                <w:sz w:val="19"/>
              </w:rPr>
              <w:t>£88.34</w:t>
            </w:r>
          </w:p>
        </w:tc>
        <w:tc>
          <w:tcPr>
            <w:tcW w:type="dxa" w:w="2448"/>
            <w:vAlign w:val="center"/>
            <w:shd w:fill="FFFFFF"/>
          </w:tcPr>
          <w:p>
            <w:r/>
            <w:r>
              <w:rPr>
                <w:rFonts w:ascii="Aptos" w:hAnsi="Aptos"/>
                <w:b w:val="0"/>
                <w:sz w:val="19"/>
              </w:rPr>
              <w:t>5.00%</w:t>
            </w:r>
          </w:p>
        </w:tc>
        <w:tc>
          <w:tcPr>
            <w:tcW w:type="dxa" w:w="2448"/>
            <w:vAlign w:val="center"/>
            <w:shd w:fill="FFFFFF"/>
          </w:tcPr>
          <w:p>
            <w:r/>
            <w:r>
              <w:rPr>
                <w:rFonts w:ascii="Aptos" w:hAnsi="Aptos"/>
                <w:b w:val="0"/>
                <w:sz w:val="19"/>
              </w:rPr>
              <w:t>-£30.98 / -25.96%</w:t>
            </w:r>
          </w:p>
        </w:tc>
      </w:tr>
      <w:tr>
        <w:tc>
          <w:tcPr>
            <w:tcW w:type="dxa" w:w="2448"/>
            <w:vAlign w:val="center"/>
            <w:shd w:fill="FFFFFF"/>
          </w:tcPr>
          <w:p>
            <w:r/>
            <w:r>
              <w:rPr>
                <w:rFonts w:ascii="Aptos" w:hAnsi="Aptos"/>
                <w:b w:val="0"/>
                <w:sz w:val="19"/>
              </w:rPr>
              <w:t>Symbotic</w:t>
            </w:r>
          </w:p>
        </w:tc>
        <w:tc>
          <w:tcPr>
            <w:tcW w:type="dxa" w:w="2448"/>
            <w:vAlign w:val="center"/>
            <w:shd w:fill="FFFFFF"/>
          </w:tcPr>
          <w:p>
            <w:r/>
            <w:r>
              <w:rPr>
                <w:rFonts w:ascii="Aptos" w:hAnsi="Aptos"/>
                <w:b w:val="0"/>
                <w:sz w:val="19"/>
              </w:rPr>
              <w:t>£67.70</w:t>
            </w:r>
          </w:p>
        </w:tc>
        <w:tc>
          <w:tcPr>
            <w:tcW w:type="dxa" w:w="2448"/>
            <w:vAlign w:val="center"/>
            <w:shd w:fill="FFFFFF"/>
          </w:tcPr>
          <w:p>
            <w:r/>
            <w:r>
              <w:rPr>
                <w:rFonts w:ascii="Aptos" w:hAnsi="Aptos"/>
                <w:b w:val="0"/>
                <w:sz w:val="19"/>
              </w:rPr>
              <w:t>3.83%</w:t>
            </w:r>
          </w:p>
        </w:tc>
        <w:tc>
          <w:tcPr>
            <w:tcW w:type="dxa" w:w="2448"/>
            <w:vAlign w:val="center"/>
            <w:shd w:fill="FFFFFF"/>
          </w:tcPr>
          <w:p>
            <w:r/>
            <w:r>
              <w:rPr>
                <w:rFonts w:ascii="Aptos" w:hAnsi="Aptos"/>
                <w:b w:val="0"/>
                <w:sz w:val="19"/>
              </w:rPr>
              <w:t>-£0.97 / -1.41%</w:t>
            </w:r>
          </w:p>
        </w:tc>
      </w:tr>
    </w:tbl>
    <w:p/>
    <w:p>
      <w:pPr>
        <w:spacing w:after="80" w:before="160" w:line="259" w:lineRule="auto"/>
      </w:pPr>
      <w:r>
        <w:rPr>
          <w:rFonts w:ascii="Aptos" w:hAnsi="Aptos"/>
          <w:b/>
          <w:i w:val="0"/>
          <w:sz w:val="24"/>
        </w:rPr>
        <w:t>What I wanted to do next</w:t>
      </w:r>
    </w:p>
    <w:p>
      <w:pPr>
        <w:spacing w:after="140" w:before="0" w:line="259" w:lineRule="auto"/>
      </w:pPr>
      <w:r>
        <w:rPr>
          <w:rFonts w:ascii="Aptos" w:hAnsi="Aptos"/>
          <w:b w:val="0"/>
          <w:i w:val="0"/>
          <w:sz w:val="22"/>
        </w:rPr>
        <w:t>The main task was not to force trades. I wanted to redeploy cash patiently and keep reviewing each holding against its original role. If Google came back to the right level, I could use the cash. If not, there was no need to rush just because the money was available.</w:t>
      </w:r>
    </w:p>
    <w:p>
      <w:pPr>
        <w:spacing w:after="140" w:before="0" w:line="259" w:lineRule="auto"/>
      </w:pPr>
      <w:r>
        <w:rPr>
          <w:rFonts w:ascii="Aptos" w:hAnsi="Aptos"/>
          <w:b w:val="0"/>
          <w:i w:val="0"/>
          <w:sz w:val="22"/>
        </w:rPr>
        <w:t>The account had already moved from a difficult low around £1,860, recovered above £2,000, and then settled slightly below it with cash on the side. That still felt disciplined rather than broken.</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