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11 - A small pullback after the Google sale</w:t>
      </w:r>
    </w:p>
    <w:p>
      <w:pPr>
        <w:spacing w:after="200" w:before="0" w:line="259" w:lineRule="auto"/>
      </w:pPr>
      <w:r>
        <w:rPr>
          <w:rFonts w:ascii="Aptos" w:hAnsi="Aptos"/>
          <w:b w:val="0"/>
          <w:i/>
          <w:sz w:val="20"/>
        </w:rPr>
        <w:t>Week ending 15 May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Estimated account value</w:t>
            </w:r>
          </w:p>
        </w:tc>
        <w:tc>
          <w:tcPr>
            <w:tcW w:type="dxa" w:w="4896"/>
            <w:vAlign w:val="center"/>
            <w:shd w:fill="FFFFFF"/>
          </w:tcPr>
          <w:p>
            <w:r/>
            <w:r>
              <w:rPr>
                <w:rFonts w:ascii="Aptos" w:hAnsi="Aptos"/>
                <w:b w:val="0"/>
                <w:sz w:val="19"/>
              </w:rPr>
              <w:t>c. £1,974.37</w:t>
            </w:r>
          </w:p>
        </w:tc>
      </w:tr>
      <w:tr>
        <w:tc>
          <w:tcPr>
            <w:tcW w:type="dxa" w:w="4896"/>
            <w:vAlign w:val="center"/>
            <w:shd w:fill="FFFFFF"/>
          </w:tcPr>
          <w:p>
            <w:r/>
            <w:r>
              <w:rPr>
                <w:rFonts w:ascii="Aptos" w:hAnsi="Aptos"/>
                <w:b/>
                <w:sz w:val="19"/>
              </w:rPr>
              <w:t>Week 10 value</w:t>
            </w:r>
          </w:p>
        </w:tc>
        <w:tc>
          <w:tcPr>
            <w:tcW w:type="dxa" w:w="4896"/>
            <w:vAlign w:val="center"/>
            <w:shd w:fill="FFFFFF"/>
          </w:tcPr>
          <w:p>
            <w:r/>
            <w:r>
              <w:rPr>
                <w:rFonts w:ascii="Aptos" w:hAnsi="Aptos"/>
                <w:b w:val="0"/>
                <w:sz w:val="19"/>
              </w:rPr>
              <w:t>c. £1,986.69</w:t>
            </w:r>
          </w:p>
        </w:tc>
      </w:tr>
      <w:tr>
        <w:tc>
          <w:tcPr>
            <w:tcW w:type="dxa" w:w="4896"/>
            <w:vAlign w:val="center"/>
            <w:shd w:fill="FFFFFF"/>
          </w:tcPr>
          <w:p>
            <w:r/>
            <w:r>
              <w:rPr>
                <w:rFonts w:ascii="Aptos" w:hAnsi="Aptos"/>
                <w:b/>
                <w:sz w:val="19"/>
              </w:rPr>
              <w:t>Weekly move</w:t>
            </w:r>
          </w:p>
        </w:tc>
        <w:tc>
          <w:tcPr>
            <w:tcW w:type="dxa" w:w="4896"/>
            <w:vAlign w:val="center"/>
            <w:shd w:fill="FFFFFF"/>
          </w:tcPr>
          <w:p>
            <w:r/>
            <w:r>
              <w:rPr>
                <w:rFonts w:ascii="Aptos" w:hAnsi="Aptos"/>
                <w:b w:val="0"/>
                <w:sz w:val="19"/>
              </w:rPr>
              <w:t>c. -£12.32 / -0.62%</w:t>
            </w:r>
          </w:p>
        </w:tc>
      </w:tr>
      <w:tr>
        <w:tc>
          <w:tcPr>
            <w:tcW w:type="dxa" w:w="4896"/>
            <w:vAlign w:val="center"/>
            <w:shd w:fill="FFFFFF"/>
          </w:tcPr>
          <w:p>
            <w:r/>
            <w:r>
              <w:rPr>
                <w:rFonts w:ascii="Aptos" w:hAnsi="Aptos"/>
                <w:b/>
                <w:sz w:val="19"/>
              </w:rPr>
              <w:t>Starting cost basis</w:t>
            </w:r>
          </w:p>
        </w:tc>
        <w:tc>
          <w:tcPr>
            <w:tcW w:type="dxa" w:w="4896"/>
            <w:vAlign w:val="center"/>
            <w:shd w:fill="FFFFFF"/>
          </w:tcPr>
          <w:p>
            <w:r/>
            <w:r>
              <w:rPr>
                <w:rFonts w:ascii="Aptos" w:hAnsi="Aptos"/>
                <w:b w:val="0"/>
                <w:sz w:val="19"/>
              </w:rPr>
              <w:t>c. £1,999</w:t>
            </w:r>
          </w:p>
        </w:tc>
      </w:tr>
      <w:tr>
        <w:tc>
          <w:tcPr>
            <w:tcW w:type="dxa" w:w="4896"/>
            <w:vAlign w:val="center"/>
            <w:shd w:fill="FFFFFF"/>
          </w:tcPr>
          <w:p>
            <w:r/>
            <w:r>
              <w:rPr>
                <w:rFonts w:ascii="Aptos" w:hAnsi="Aptos"/>
                <w:b/>
                <w:sz w:val="19"/>
              </w:rPr>
              <w:t>Estimated cash</w:t>
            </w:r>
          </w:p>
        </w:tc>
        <w:tc>
          <w:tcPr>
            <w:tcW w:type="dxa" w:w="4896"/>
            <w:vAlign w:val="center"/>
            <w:shd w:fill="FFFFFF"/>
          </w:tcPr>
          <w:p>
            <w:r/>
            <w:r>
              <w:rPr>
                <w:rFonts w:ascii="Aptos" w:hAnsi="Aptos"/>
                <w:b w:val="0"/>
                <w:sz w:val="19"/>
              </w:rPr>
              <w:t>c. £246.34</w:t>
            </w:r>
          </w:p>
        </w:tc>
      </w:tr>
      <w:tr>
        <w:tc>
          <w:tcPr>
            <w:tcW w:type="dxa" w:w="4896"/>
            <w:vAlign w:val="center"/>
            <w:shd w:fill="FFFFFF"/>
          </w:tcPr>
          <w:p>
            <w:r/>
            <w:r>
              <w:rPr>
                <w:rFonts w:ascii="Aptos" w:hAnsi="Aptos"/>
                <w:b/>
                <w:sz w:val="19"/>
              </w:rPr>
              <w:t>Main trade</w:t>
            </w:r>
          </w:p>
        </w:tc>
        <w:tc>
          <w:tcPr>
            <w:tcW w:type="dxa" w:w="4896"/>
            <w:vAlign w:val="center"/>
            <w:shd w:fill="FFFFFF"/>
          </w:tcPr>
          <w:p>
            <w:r/>
            <w:r>
              <w:rPr>
                <w:rFonts w:ascii="Aptos" w:hAnsi="Aptos"/>
                <w:b w:val="0"/>
                <w:sz w:val="19"/>
              </w:rPr>
              <w:t>Sold 1 QQQA share for £25.41</w:t>
            </w:r>
          </w:p>
        </w:tc>
      </w:tr>
    </w:tbl>
    <w:p/>
    <w:p>
      <w:pPr>
        <w:spacing w:after="80" w:before="160" w:line="259" w:lineRule="auto"/>
      </w:pPr>
      <w:r>
        <w:rPr>
          <w:rFonts w:ascii="Aptos" w:hAnsi="Aptos"/>
          <w:b/>
          <w:i w:val="0"/>
          <w:sz w:val="24"/>
        </w:rPr>
        <w:t>Not a good week, but not a bad one either</w:t>
      </w:r>
    </w:p>
    <w:p>
      <w:pPr>
        <w:spacing w:after="140" w:before="0" w:line="259" w:lineRule="auto"/>
      </w:pPr>
      <w:r>
        <w:rPr>
          <w:rFonts w:ascii="Aptos" w:hAnsi="Aptos"/>
          <w:b w:val="0"/>
          <w:i w:val="0"/>
          <w:sz w:val="22"/>
        </w:rPr>
        <w:t>Week 11 was slightly negative, but I would not call it a bad week. The account fell by roughly £12, which is annoying, but it was nothing like the pressure from earlier when the portfolio was around £1,860. The account was still close to the original cost basis and I had more cash after trimming one QQQA share.</w:t>
      </w:r>
    </w:p>
    <w:p>
      <w:pPr>
        <w:spacing w:after="140" w:before="0" w:line="259" w:lineRule="auto"/>
      </w:pPr>
      <w:r>
        <w:rPr>
          <w:rFonts w:ascii="Aptos" w:hAnsi="Aptos"/>
          <w:b w:val="0"/>
          <w:i w:val="0"/>
          <w:sz w:val="22"/>
        </w:rPr>
        <w:t>The portfolio still felt under control. It was not one of those weeks where one holding completely damaged the account or where the structure stopped making sense. It was just mixed: some core names helped, some volatile names pulled back, and gold did not offer much protection.</w:t>
      </w:r>
    </w:p>
    <w:p>
      <w:pPr>
        <w:spacing w:after="80" w:before="160" w:line="259" w:lineRule="auto"/>
      </w:pPr>
      <w:r>
        <w:rPr>
          <w:rFonts w:ascii="Aptos" w:hAnsi="Aptos"/>
          <w:b/>
          <w:i w:val="0"/>
          <w:sz w:val="24"/>
        </w:rPr>
        <w:t>How it felt without Google</w:t>
      </w:r>
    </w:p>
    <w:p>
      <w:pPr>
        <w:spacing w:after="140" w:before="0" w:line="259" w:lineRule="auto"/>
      </w:pPr>
      <w:r>
        <w:rPr>
          <w:rFonts w:ascii="Aptos" w:hAnsi="Aptos"/>
          <w:b w:val="0"/>
          <w:i w:val="0"/>
          <w:sz w:val="22"/>
        </w:rPr>
        <w:t>Week 10 had been about the Google sale and building cash. Week 11 was more about seeing whether the remaining portfolio could hold up without Google in it. Overall, it did hold up fairly well, even though the account was slightly down.</w:t>
      </w:r>
    </w:p>
    <w:p>
      <w:pPr>
        <w:spacing w:after="140" w:before="0" w:line="259" w:lineRule="auto"/>
      </w:pPr>
      <w:r>
        <w:rPr>
          <w:rFonts w:ascii="Aptos" w:hAnsi="Aptos"/>
          <w:b w:val="0"/>
          <w:i w:val="0"/>
          <w:sz w:val="22"/>
        </w:rPr>
        <w:t>The better part of the week was Meta, VUAG and the Nasdaq exposure. That told me the quality growth and broad market side of the portfolio was still working. The weaker part was ASML and Symbotic pulling back. That was a useful reminder that even good themes can be volatile from week to week.</w:t>
      </w:r>
    </w:p>
    <w:p>
      <w:pPr>
        <w:spacing w:after="80" w:before="160" w:line="259" w:lineRule="auto"/>
      </w:pPr>
      <w:r>
        <w:rPr>
          <w:rFonts w:ascii="Aptos" w:hAnsi="Aptos"/>
          <w:b/>
          <w:i w:val="0"/>
          <w:sz w:val="24"/>
        </w:rPr>
        <w:t>The QQQA trim</w:t>
      </w:r>
    </w:p>
    <w:p>
      <w:pPr>
        <w:spacing w:after="140" w:before="0" w:line="259" w:lineRule="auto"/>
      </w:pPr>
      <w:r>
        <w:rPr>
          <w:rFonts w:ascii="Aptos" w:hAnsi="Aptos"/>
          <w:b w:val="0"/>
          <w:i w:val="0"/>
          <w:sz w:val="22"/>
        </w:rPr>
        <w:t>I sold one QQQA share for £25.41. I think that was a sensible small trim because it raised cash without removing the Nasdaq and large-cap technology exposure completely. I still had exposure to the theme, but I also had more flexibility.</w:t>
      </w:r>
    </w:p>
    <w:p>
      <w:pPr>
        <w:spacing w:after="140" w:before="0" w:line="259" w:lineRule="auto"/>
      </w:pPr>
      <w:r>
        <w:rPr>
          <w:rFonts w:ascii="Aptos" w:hAnsi="Aptos"/>
          <w:b w:val="0"/>
          <w:i w:val="0"/>
          <w:sz w:val="22"/>
        </w:rPr>
        <w:t>Gold was weak again, which was frustrating because SGLN is meant to help balance the portfolio. I still thought it had a role, but I had to be realistic: a hedge can drag as well as protect.</w:t>
      </w:r>
    </w:p>
    <w:p>
      <w:pPr>
        <w:spacing w:after="80" w:before="160" w:line="259" w:lineRule="auto"/>
      </w:pPr>
      <w:r>
        <w:rPr>
          <w:rFonts w:ascii="Aptos" w:hAnsi="Aptos"/>
          <w:b/>
          <w:i w:val="0"/>
          <w:sz w:val="24"/>
        </w:rPr>
        <w:t>Notes on the main names</w:t>
      </w:r>
    </w:p>
    <w:p>
      <w:pPr>
        <w:spacing w:after="140" w:before="0" w:line="259" w:lineRule="auto"/>
      </w:pPr>
      <w:r>
        <w:rPr>
          <w:rFonts w:ascii="Aptos" w:hAnsi="Aptos"/>
          <w:b w:val="0"/>
          <w:i w:val="0"/>
          <w:sz w:val="22"/>
        </w:rPr>
        <w:t>Meta was one of the better parts of the week and still looked like a strong long-term holding. VUAG did what I wanted it to do by giving broad market exposure. ASML was weaker, but I did not think the long-term semiconductor infrastructure case had changed.</w:t>
      </w:r>
    </w:p>
    <w:p>
      <w:pPr>
        <w:spacing w:after="140" w:before="0" w:line="259" w:lineRule="auto"/>
      </w:pPr>
      <w:r>
        <w:rPr>
          <w:rFonts w:ascii="Aptos" w:hAnsi="Aptos"/>
          <w:b w:val="0"/>
          <w:i w:val="0"/>
          <w:sz w:val="22"/>
        </w:rPr>
        <w:t>Symbotic was the one to watch most carefully because it fell sharply. Rheinmetall stayed weak, Realty Income and NextEra remained rate-sensitive, and Airbnb was weaker but not in a way that changed the whole view.</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