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12 - A small recovery without Google</w:t>
      </w:r>
    </w:p>
    <w:p>
      <w:pPr>
        <w:spacing w:after="200" w:before="0" w:line="259" w:lineRule="auto"/>
      </w:pPr>
      <w:r>
        <w:rPr>
          <w:rFonts w:ascii="Aptos" w:hAnsi="Aptos"/>
          <w:b w:val="0"/>
          <w:i/>
          <w:sz w:val="20"/>
        </w:rPr>
        <w:t>Week ending 22 May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Account value</w:t>
            </w:r>
          </w:p>
        </w:tc>
        <w:tc>
          <w:tcPr>
            <w:tcW w:type="dxa" w:w="4896"/>
            <w:vAlign w:val="center"/>
            <w:shd w:fill="FFFFFF"/>
          </w:tcPr>
          <w:p>
            <w:r/>
            <w:r>
              <w:rPr>
                <w:rFonts w:ascii="Aptos" w:hAnsi="Aptos"/>
                <w:b w:val="0"/>
                <w:sz w:val="19"/>
              </w:rPr>
              <w:t>£1,983.39</w:t>
            </w:r>
          </w:p>
        </w:tc>
      </w:tr>
      <w:tr>
        <w:tc>
          <w:tcPr>
            <w:tcW w:type="dxa" w:w="4896"/>
            <w:vAlign w:val="center"/>
            <w:shd w:fill="FFFFFF"/>
          </w:tcPr>
          <w:p>
            <w:r/>
            <w:r>
              <w:rPr>
                <w:rFonts w:ascii="Aptos" w:hAnsi="Aptos"/>
                <w:b/>
                <w:sz w:val="19"/>
              </w:rPr>
              <w:t>Week 11 value</w:t>
            </w:r>
          </w:p>
        </w:tc>
        <w:tc>
          <w:tcPr>
            <w:tcW w:type="dxa" w:w="4896"/>
            <w:vAlign w:val="center"/>
            <w:shd w:fill="FFFFFF"/>
          </w:tcPr>
          <w:p>
            <w:r/>
            <w:r>
              <w:rPr>
                <w:rFonts w:ascii="Aptos" w:hAnsi="Aptos"/>
                <w:b w:val="0"/>
                <w:sz w:val="19"/>
              </w:rPr>
              <w:t>£1,974.37</w:t>
            </w:r>
          </w:p>
        </w:tc>
      </w:tr>
      <w:tr>
        <w:tc>
          <w:tcPr>
            <w:tcW w:type="dxa" w:w="4896"/>
            <w:vAlign w:val="center"/>
            <w:shd w:fill="FFFFFF"/>
          </w:tcPr>
          <w:p>
            <w:r/>
            <w:r>
              <w:rPr>
                <w:rFonts w:ascii="Aptos" w:hAnsi="Aptos"/>
                <w:b/>
                <w:sz w:val="19"/>
              </w:rPr>
              <w:t>Weekly move</w:t>
            </w:r>
          </w:p>
        </w:tc>
        <w:tc>
          <w:tcPr>
            <w:tcW w:type="dxa" w:w="4896"/>
            <w:vAlign w:val="center"/>
            <w:shd w:fill="FFFFFF"/>
          </w:tcPr>
          <w:p>
            <w:r/>
            <w:r>
              <w:rPr>
                <w:rFonts w:ascii="Aptos" w:hAnsi="Aptos"/>
                <w:b w:val="0"/>
                <w:sz w:val="19"/>
              </w:rPr>
              <w:t>+£9.02 / +0.46%</w:t>
            </w:r>
          </w:p>
        </w:tc>
      </w:tr>
      <w:tr>
        <w:tc>
          <w:tcPr>
            <w:tcW w:type="dxa" w:w="4896"/>
            <w:vAlign w:val="center"/>
            <w:shd w:fill="FFFFFF"/>
          </w:tcPr>
          <w:p>
            <w:r/>
            <w:r>
              <w:rPr>
                <w:rFonts w:ascii="Aptos" w:hAnsi="Aptos"/>
                <w:b/>
                <w:sz w:val="19"/>
              </w:rPr>
              <w:t>Starting cost basis</w:t>
            </w:r>
          </w:p>
        </w:tc>
        <w:tc>
          <w:tcPr>
            <w:tcW w:type="dxa" w:w="4896"/>
            <w:vAlign w:val="center"/>
            <w:shd w:fill="FFFFFF"/>
          </w:tcPr>
          <w:p>
            <w:r/>
            <w:r>
              <w:rPr>
                <w:rFonts w:ascii="Aptos" w:hAnsi="Aptos"/>
                <w:b w:val="0"/>
                <w:sz w:val="19"/>
              </w:rPr>
              <w:t>£1,999</w:t>
            </w:r>
          </w:p>
        </w:tc>
      </w:tr>
      <w:tr>
        <w:tc>
          <w:tcPr>
            <w:tcW w:type="dxa" w:w="4896"/>
            <w:vAlign w:val="center"/>
            <w:shd w:fill="FFFFFF"/>
          </w:tcPr>
          <w:p>
            <w:r/>
            <w:r>
              <w:rPr>
                <w:rFonts w:ascii="Aptos" w:hAnsi="Aptos"/>
                <w:b/>
                <w:sz w:val="19"/>
              </w:rPr>
              <w:t>Overall result</w:t>
            </w:r>
          </w:p>
        </w:tc>
        <w:tc>
          <w:tcPr>
            <w:tcW w:type="dxa" w:w="4896"/>
            <w:vAlign w:val="center"/>
            <w:shd w:fill="FFFFFF"/>
          </w:tcPr>
          <w:p>
            <w:r/>
            <w:r>
              <w:rPr>
                <w:rFonts w:ascii="Aptos" w:hAnsi="Aptos"/>
                <w:b w:val="0"/>
                <w:sz w:val="19"/>
              </w:rPr>
              <w:t>-£15.61 / -0.78%</w:t>
            </w:r>
          </w:p>
        </w:tc>
      </w:tr>
      <w:tr>
        <w:tc>
          <w:tcPr>
            <w:tcW w:type="dxa" w:w="4896"/>
            <w:vAlign w:val="center"/>
            <w:shd w:fill="FFFFFF"/>
          </w:tcPr>
          <w:p>
            <w:r/>
            <w:r>
              <w:rPr>
                <w:rFonts w:ascii="Aptos" w:hAnsi="Aptos"/>
                <w:b/>
                <w:sz w:val="19"/>
              </w:rPr>
              <w:t>Cash</w:t>
            </w:r>
          </w:p>
        </w:tc>
        <w:tc>
          <w:tcPr>
            <w:tcW w:type="dxa" w:w="4896"/>
            <w:vAlign w:val="center"/>
            <w:shd w:fill="FFFFFF"/>
          </w:tcPr>
          <w:p>
            <w:r/>
            <w:r>
              <w:rPr>
                <w:rFonts w:ascii="Aptos" w:hAnsi="Aptos"/>
                <w:b w:val="0"/>
                <w:sz w:val="19"/>
              </w:rPr>
              <w:t>£246.34</w:t>
            </w:r>
          </w:p>
        </w:tc>
      </w:tr>
      <w:tr>
        <w:tc>
          <w:tcPr>
            <w:tcW w:type="dxa" w:w="4896"/>
            <w:vAlign w:val="center"/>
            <w:shd w:fill="FFFFFF"/>
          </w:tcPr>
          <w:p>
            <w:r/>
            <w:r>
              <w:rPr>
                <w:rFonts w:ascii="Aptos" w:hAnsi="Aptos"/>
                <w:b/>
                <w:sz w:val="19"/>
              </w:rPr>
              <w:t>Main trade</w:t>
            </w:r>
          </w:p>
        </w:tc>
        <w:tc>
          <w:tcPr>
            <w:tcW w:type="dxa" w:w="4896"/>
            <w:vAlign w:val="center"/>
            <w:shd w:fill="FFFFFF"/>
          </w:tcPr>
          <w:p>
            <w:r/>
            <w:r>
              <w:rPr>
                <w:rFonts w:ascii="Aptos" w:hAnsi="Aptos"/>
                <w:b w:val="0"/>
                <w:sz w:val="19"/>
              </w:rPr>
              <w:t>No new trade assumed; Google still not re-entered</w:t>
            </w:r>
          </w:p>
        </w:tc>
      </w:tr>
    </w:tbl>
    <w:p/>
    <w:p>
      <w:pPr>
        <w:spacing w:after="80" w:before="160" w:line="259" w:lineRule="auto"/>
      </w:pPr>
      <w:r>
        <w:rPr>
          <w:rFonts w:ascii="Aptos" w:hAnsi="Aptos"/>
          <w:b/>
          <w:i w:val="0"/>
          <w:sz w:val="24"/>
        </w:rPr>
        <w:t>The account moved the right way</w:t>
      </w:r>
    </w:p>
    <w:p>
      <w:pPr>
        <w:spacing w:after="140" w:before="0" w:line="259" w:lineRule="auto"/>
      </w:pPr>
      <w:r>
        <w:rPr>
          <w:rFonts w:ascii="Aptos" w:hAnsi="Aptos"/>
          <w:b w:val="0"/>
          <w:i w:val="0"/>
          <w:sz w:val="22"/>
        </w:rPr>
        <w:t>Week 12 was better than Week 11, although it was not a big breakout. The account moved from £1,974.37 to £1,983.39, so the portfolio recovered by £9.02. That is not a huge move, but it brought the account closer to the original cost basis again.</w:t>
      </w:r>
    </w:p>
    <w:p>
      <w:pPr>
        <w:spacing w:after="140" w:before="0" w:line="259" w:lineRule="auto"/>
      </w:pPr>
      <w:r>
        <w:rPr>
          <w:rFonts w:ascii="Aptos" w:hAnsi="Aptos"/>
          <w:b w:val="0"/>
          <w:i w:val="0"/>
          <w:sz w:val="22"/>
        </w:rPr>
        <w:t>The useful part was that the portfolio did not need Google in the account to stabilise. The cash stayed available, and the improvement came from the remaining holdings, mainly ASML, Symbotic and Rheinmetall. At the same time, NextEra, gold and Meta held the account back, so it was not a clean rally.</w:t>
      </w:r>
    </w:p>
    <w:p>
      <w:pPr>
        <w:spacing w:after="80" w:before="160" w:line="259" w:lineRule="auto"/>
      </w:pPr>
      <w:r>
        <w:rPr>
          <w:rFonts w:ascii="Aptos" w:hAnsi="Aptos"/>
          <w:b/>
          <w:i w:val="0"/>
          <w:sz w:val="24"/>
        </w:rPr>
        <w:t>What happened underneath</w:t>
      </w:r>
    </w:p>
    <w:p>
      <w:pPr>
        <w:spacing w:after="140" w:before="0" w:line="259" w:lineRule="auto"/>
      </w:pPr>
      <w:r>
        <w:rPr>
          <w:rFonts w:ascii="Aptos" w:hAnsi="Aptos"/>
          <w:b w:val="0"/>
          <w:i w:val="0"/>
          <w:sz w:val="22"/>
        </w:rPr>
        <w:t>The wider market was mixed. Early in the week, investors were still worried about inflation, oil and bond yields, which was not helpful for rate-sensitive names like NextEra. Later in the week, sentiment improved as investors became more positive about progress in the Middle East conflict and corporate earnings remained supportive.</w:t>
      </w:r>
    </w:p>
    <w:p>
      <w:pPr>
        <w:spacing w:after="140" w:before="0" w:line="259" w:lineRule="auto"/>
      </w:pPr>
      <w:r>
        <w:rPr>
          <w:rFonts w:ascii="Aptos" w:hAnsi="Aptos"/>
          <w:b w:val="0"/>
          <w:i w:val="0"/>
          <w:sz w:val="22"/>
        </w:rPr>
        <w:t>Europe was stronger, especially technology and defence. That helped ASML and Rheinmetall after both had been frustrating recently. Gold was weaker again because higher yields and a firmer dollar made it harder for the hedge to help.</w:t>
      </w:r>
    </w:p>
    <w:p>
      <w:pPr>
        <w:spacing w:after="80" w:before="160" w:line="259" w:lineRule="auto"/>
      </w:pPr>
      <w:r>
        <w:rPr>
          <w:rFonts w:ascii="Aptos" w:hAnsi="Aptos"/>
          <w:b/>
          <w:i w:val="0"/>
          <w:sz w:val="24"/>
        </w:rPr>
        <w:t>The position impact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48"/>
        <w:gridCol w:w="2448"/>
        <w:gridCol w:w="2448"/>
        <w:gridCol w:w="2448"/>
      </w:tblGrid>
      <w:tr>
        <w:tc>
          <w:tcPr>
            <w:tcW w:type="dxa" w:w="2448"/>
            <w:vAlign w:val="center"/>
            <w:shd w:fill="FFFFFF"/>
          </w:tcPr>
          <w:p>
            <w:r/>
            <w:r>
              <w:rPr>
                <w:rFonts w:ascii="Aptos" w:hAnsi="Aptos"/>
                <w:b/>
                <w:sz w:val="19"/>
              </w:rPr>
              <w:t>Holding</w:t>
            </w:r>
          </w:p>
        </w:tc>
        <w:tc>
          <w:tcPr>
            <w:tcW w:type="dxa" w:w="2448"/>
            <w:vAlign w:val="center"/>
            <w:shd w:fill="FFFFFF"/>
          </w:tcPr>
          <w:p>
            <w:r/>
            <w:r>
              <w:rPr>
                <w:rFonts w:ascii="Aptos" w:hAnsi="Aptos"/>
                <w:b/>
                <w:sz w:val="19"/>
              </w:rPr>
              <w:t>Weekly move</w:t>
            </w:r>
          </w:p>
        </w:tc>
        <w:tc>
          <w:tcPr>
            <w:tcW w:type="dxa" w:w="2448"/>
            <w:vAlign w:val="center"/>
            <w:shd w:fill="FFFFFF"/>
          </w:tcPr>
          <w:p>
            <w:r/>
            <w:r>
              <w:rPr>
                <w:rFonts w:ascii="Aptos" w:hAnsi="Aptos"/>
                <w:b/>
                <w:sz w:val="19"/>
              </w:rPr>
              <w:t>£ impact</w:t>
            </w:r>
          </w:p>
        </w:tc>
        <w:tc>
          <w:tcPr>
            <w:tcW w:type="dxa" w:w="2448"/>
            <w:vAlign w:val="center"/>
            <w:shd w:fill="FFFFFF"/>
          </w:tcPr>
          <w:p>
            <w:r/>
            <w:r>
              <w:rPr>
                <w:rFonts w:ascii="Aptos" w:hAnsi="Aptos"/>
                <w:b/>
                <w:sz w:val="19"/>
              </w:rPr>
              <w:t>My note</w:t>
            </w:r>
          </w:p>
        </w:tc>
      </w:tr>
      <w:tr>
        <w:tc>
          <w:tcPr>
            <w:tcW w:type="dxa" w:w="2448"/>
            <w:vAlign w:val="center"/>
            <w:shd w:fill="FFFFFF"/>
          </w:tcPr>
          <w:p>
            <w:r/>
            <w:r>
              <w:rPr>
                <w:rFonts w:ascii="Aptos" w:hAnsi="Aptos"/>
                <w:b w:val="0"/>
                <w:sz w:val="19"/>
              </w:rPr>
              <w:t>ASML</w:t>
            </w:r>
          </w:p>
        </w:tc>
        <w:tc>
          <w:tcPr>
            <w:tcW w:type="dxa" w:w="2448"/>
            <w:vAlign w:val="center"/>
            <w:shd w:fill="FFFFFF"/>
          </w:tcPr>
          <w:p>
            <w:r/>
            <w:r>
              <w:rPr>
                <w:rFonts w:ascii="Aptos" w:hAnsi="Aptos"/>
                <w:b w:val="0"/>
                <w:sz w:val="19"/>
              </w:rPr>
              <w:t>+7.1%</w:t>
            </w:r>
          </w:p>
        </w:tc>
        <w:tc>
          <w:tcPr>
            <w:tcW w:type="dxa" w:w="2448"/>
            <w:vAlign w:val="center"/>
            <w:shd w:fill="FFFFFF"/>
          </w:tcPr>
          <w:p>
            <w:r/>
            <w:r>
              <w:rPr>
                <w:rFonts w:ascii="Aptos" w:hAnsi="Aptos"/>
                <w:b w:val="0"/>
                <w:sz w:val="19"/>
              </w:rPr>
              <w:t>+£9.16</w:t>
            </w:r>
          </w:p>
        </w:tc>
        <w:tc>
          <w:tcPr>
            <w:tcW w:type="dxa" w:w="2448"/>
            <w:vAlign w:val="center"/>
            <w:shd w:fill="FFFFFF"/>
          </w:tcPr>
          <w:p>
            <w:r/>
            <w:r>
              <w:rPr>
                <w:rFonts w:ascii="Aptos" w:hAnsi="Aptos"/>
                <w:b w:val="0"/>
                <w:sz w:val="19"/>
              </w:rPr>
              <w:t>Good rebound after last week’s weakness.</w:t>
            </w:r>
          </w:p>
        </w:tc>
      </w:tr>
      <w:tr>
        <w:tc>
          <w:tcPr>
            <w:tcW w:type="dxa" w:w="2448"/>
            <w:vAlign w:val="center"/>
            <w:shd w:fill="FFFFFF"/>
          </w:tcPr>
          <w:p>
            <w:r/>
            <w:r>
              <w:rPr>
                <w:rFonts w:ascii="Aptos" w:hAnsi="Aptos"/>
                <w:b w:val="0"/>
                <w:sz w:val="19"/>
              </w:rPr>
              <w:t>Symbotic</w:t>
            </w:r>
          </w:p>
        </w:tc>
        <w:tc>
          <w:tcPr>
            <w:tcW w:type="dxa" w:w="2448"/>
            <w:vAlign w:val="center"/>
            <w:shd w:fill="FFFFFF"/>
          </w:tcPr>
          <w:p>
            <w:r/>
            <w:r>
              <w:rPr>
                <w:rFonts w:ascii="Aptos" w:hAnsi="Aptos"/>
                <w:b w:val="0"/>
                <w:sz w:val="19"/>
              </w:rPr>
              <w:t>+13.3%</w:t>
            </w:r>
          </w:p>
        </w:tc>
        <w:tc>
          <w:tcPr>
            <w:tcW w:type="dxa" w:w="2448"/>
            <w:vAlign w:val="center"/>
            <w:shd w:fill="FFFFFF"/>
          </w:tcPr>
          <w:p>
            <w:r/>
            <w:r>
              <w:rPr>
                <w:rFonts w:ascii="Aptos" w:hAnsi="Aptos"/>
                <w:b w:val="0"/>
                <w:sz w:val="19"/>
              </w:rPr>
              <w:t>+£8.22</w:t>
            </w:r>
          </w:p>
        </w:tc>
        <w:tc>
          <w:tcPr>
            <w:tcW w:type="dxa" w:w="2448"/>
            <w:vAlign w:val="center"/>
            <w:shd w:fill="FFFFFF"/>
          </w:tcPr>
          <w:p>
            <w:r/>
            <w:r>
              <w:rPr>
                <w:rFonts w:ascii="Aptos" w:hAnsi="Aptos"/>
                <w:b w:val="0"/>
                <w:sz w:val="19"/>
              </w:rPr>
              <w:t>Sharp bounce, but still volatile.</w:t>
            </w:r>
          </w:p>
        </w:tc>
      </w:tr>
      <w:tr>
        <w:tc>
          <w:tcPr>
            <w:tcW w:type="dxa" w:w="2448"/>
            <w:vAlign w:val="center"/>
            <w:shd w:fill="FFFFFF"/>
          </w:tcPr>
          <w:p>
            <w:r/>
            <w:r>
              <w:rPr>
                <w:rFonts w:ascii="Aptos" w:hAnsi="Aptos"/>
                <w:b w:val="0"/>
                <w:sz w:val="19"/>
              </w:rPr>
              <w:t>Rheinmetall</w:t>
            </w:r>
          </w:p>
        </w:tc>
        <w:tc>
          <w:tcPr>
            <w:tcW w:type="dxa" w:w="2448"/>
            <w:vAlign w:val="center"/>
            <w:shd w:fill="FFFFFF"/>
          </w:tcPr>
          <w:p>
            <w:r/>
            <w:r>
              <w:rPr>
                <w:rFonts w:ascii="Aptos" w:hAnsi="Aptos"/>
                <w:b w:val="0"/>
                <w:sz w:val="19"/>
              </w:rPr>
              <w:t>+8.6%</w:t>
            </w:r>
          </w:p>
        </w:tc>
        <w:tc>
          <w:tcPr>
            <w:tcW w:type="dxa" w:w="2448"/>
            <w:vAlign w:val="center"/>
            <w:shd w:fill="FFFFFF"/>
          </w:tcPr>
          <w:p>
            <w:r/>
            <w:r>
              <w:rPr>
                <w:rFonts w:ascii="Aptos" w:hAnsi="Aptos"/>
                <w:b w:val="0"/>
                <w:sz w:val="19"/>
              </w:rPr>
              <w:t>+£7.45</w:t>
            </w:r>
          </w:p>
        </w:tc>
        <w:tc>
          <w:tcPr>
            <w:tcW w:type="dxa" w:w="2448"/>
            <w:vAlign w:val="center"/>
            <w:shd w:fill="FFFFFF"/>
          </w:tcPr>
          <w:p>
            <w:r/>
            <w:r>
              <w:rPr>
                <w:rFonts w:ascii="Aptos" w:hAnsi="Aptos"/>
                <w:b w:val="0"/>
                <w:sz w:val="19"/>
              </w:rPr>
              <w:t>Useful recovery after the defence-stock reset.</w:t>
            </w:r>
          </w:p>
        </w:tc>
      </w:tr>
      <w:tr>
        <w:tc>
          <w:tcPr>
            <w:tcW w:type="dxa" w:w="2448"/>
            <w:vAlign w:val="center"/>
            <w:shd w:fill="FFFFFF"/>
          </w:tcPr>
          <w:p>
            <w:r/>
            <w:r>
              <w:rPr>
                <w:rFonts w:ascii="Aptos" w:hAnsi="Aptos"/>
                <w:b w:val="0"/>
                <w:sz w:val="19"/>
              </w:rPr>
              <w:t>Realty Income</w:t>
            </w:r>
          </w:p>
        </w:tc>
        <w:tc>
          <w:tcPr>
            <w:tcW w:type="dxa" w:w="2448"/>
            <w:vAlign w:val="center"/>
            <w:shd w:fill="FFFFFF"/>
          </w:tcPr>
          <w:p>
            <w:r/>
            <w:r>
              <w:rPr>
                <w:rFonts w:ascii="Aptos" w:hAnsi="Aptos"/>
                <w:b w:val="0"/>
                <w:sz w:val="19"/>
              </w:rPr>
              <w:t>+0.7%</w:t>
            </w:r>
          </w:p>
        </w:tc>
        <w:tc>
          <w:tcPr>
            <w:tcW w:type="dxa" w:w="2448"/>
            <w:vAlign w:val="center"/>
            <w:shd w:fill="FFFFFF"/>
          </w:tcPr>
          <w:p>
            <w:r/>
            <w:r>
              <w:rPr>
                <w:rFonts w:ascii="Aptos" w:hAnsi="Aptos"/>
                <w:b w:val="0"/>
                <w:sz w:val="19"/>
              </w:rPr>
              <w:t>+£0.98</w:t>
            </w:r>
          </w:p>
        </w:tc>
        <w:tc>
          <w:tcPr>
            <w:tcW w:type="dxa" w:w="2448"/>
            <w:vAlign w:val="center"/>
            <w:shd w:fill="FFFFFF"/>
          </w:tcPr>
          <w:p>
            <w:r/>
            <w:r>
              <w:rPr>
                <w:rFonts w:ascii="Aptos" w:hAnsi="Aptos"/>
                <w:b w:val="0"/>
                <w:sz w:val="19"/>
              </w:rPr>
              <w:t>Slightly positive, still rate-sensitive.</w:t>
            </w:r>
          </w:p>
        </w:tc>
      </w:tr>
      <w:tr>
        <w:tc>
          <w:tcPr>
            <w:tcW w:type="dxa" w:w="2448"/>
            <w:vAlign w:val="center"/>
            <w:shd w:fill="FFFFFF"/>
          </w:tcPr>
          <w:p>
            <w:r/>
            <w:r>
              <w:rPr>
                <w:rFonts w:ascii="Aptos" w:hAnsi="Aptos"/>
                <w:b w:val="0"/>
                <w:sz w:val="19"/>
              </w:rPr>
              <w:t>QQQA</w:t>
            </w:r>
          </w:p>
        </w:tc>
        <w:tc>
          <w:tcPr>
            <w:tcW w:type="dxa" w:w="2448"/>
            <w:vAlign w:val="center"/>
            <w:shd w:fill="FFFFFF"/>
          </w:tcPr>
          <w:p>
            <w:r/>
            <w:r>
              <w:rPr>
                <w:rFonts w:ascii="Aptos" w:hAnsi="Aptos"/>
                <w:b w:val="0"/>
                <w:sz w:val="19"/>
              </w:rPr>
              <w:t>+0.5%</w:t>
            </w:r>
          </w:p>
        </w:tc>
        <w:tc>
          <w:tcPr>
            <w:tcW w:type="dxa" w:w="2448"/>
            <w:vAlign w:val="center"/>
            <w:shd w:fill="FFFFFF"/>
          </w:tcPr>
          <w:p>
            <w:r/>
            <w:r>
              <w:rPr>
                <w:rFonts w:ascii="Aptos" w:hAnsi="Aptos"/>
                <w:b w:val="0"/>
                <w:sz w:val="19"/>
              </w:rPr>
              <w:t>+£0.69</w:t>
            </w:r>
          </w:p>
        </w:tc>
        <w:tc>
          <w:tcPr>
            <w:tcW w:type="dxa" w:w="2448"/>
            <w:vAlign w:val="center"/>
            <w:shd w:fill="FFFFFF"/>
          </w:tcPr>
          <w:p>
            <w:r/>
            <w:r>
              <w:rPr>
                <w:rFonts w:ascii="Aptos" w:hAnsi="Aptos"/>
                <w:b w:val="0"/>
                <w:sz w:val="19"/>
              </w:rPr>
              <w:t>Nasdaq exposure held up after the Week 11 trim.</w:t>
            </w:r>
          </w:p>
        </w:tc>
      </w:tr>
      <w:tr>
        <w:tc>
          <w:tcPr>
            <w:tcW w:type="dxa" w:w="2448"/>
            <w:vAlign w:val="center"/>
            <w:shd w:fill="FFFFFF"/>
          </w:tcPr>
          <w:p>
            <w:r/>
            <w:r>
              <w:rPr>
                <w:rFonts w:ascii="Aptos" w:hAnsi="Aptos"/>
                <w:b w:val="0"/>
                <w:sz w:val="19"/>
              </w:rPr>
              <w:t>Berkshire Hathaway</w:t>
            </w:r>
          </w:p>
        </w:tc>
        <w:tc>
          <w:tcPr>
            <w:tcW w:type="dxa" w:w="2448"/>
            <w:vAlign w:val="center"/>
            <w:shd w:fill="FFFFFF"/>
          </w:tcPr>
          <w:p>
            <w:r/>
            <w:r>
              <w:rPr>
                <w:rFonts w:ascii="Aptos" w:hAnsi="Aptos"/>
                <w:b w:val="0"/>
                <w:sz w:val="19"/>
              </w:rPr>
              <w:t>Flat</w:t>
            </w:r>
          </w:p>
        </w:tc>
        <w:tc>
          <w:tcPr>
            <w:tcW w:type="dxa" w:w="2448"/>
            <w:vAlign w:val="center"/>
            <w:shd w:fill="FFFFFF"/>
          </w:tcPr>
          <w:p>
            <w:r/>
            <w:r>
              <w:rPr>
                <w:rFonts w:ascii="Aptos" w:hAnsi="Aptos"/>
                <w:b w:val="0"/>
                <w:sz w:val="19"/>
              </w:rPr>
              <w:t>£0.00</w:t>
            </w:r>
          </w:p>
        </w:tc>
        <w:tc>
          <w:tcPr>
            <w:tcW w:type="dxa" w:w="2448"/>
            <w:vAlign w:val="center"/>
            <w:shd w:fill="FFFFFF"/>
          </w:tcPr>
          <w:p>
            <w:r/>
            <w:r>
              <w:rPr>
                <w:rFonts w:ascii="Aptos" w:hAnsi="Aptos"/>
                <w:b w:val="0"/>
                <w:sz w:val="19"/>
              </w:rPr>
              <w:t>Did its job as a steady holding.</w:t>
            </w:r>
          </w:p>
        </w:tc>
      </w:tr>
      <w:tr>
        <w:tc>
          <w:tcPr>
            <w:tcW w:type="dxa" w:w="2448"/>
            <w:vAlign w:val="center"/>
            <w:shd w:fill="FFFFFF"/>
          </w:tcPr>
          <w:p>
            <w:r/>
            <w:r>
              <w:rPr>
                <w:rFonts w:ascii="Aptos" w:hAnsi="Aptos"/>
                <w:b w:val="0"/>
                <w:sz w:val="19"/>
              </w:rPr>
              <w:t>VUAG</w:t>
            </w:r>
          </w:p>
        </w:tc>
        <w:tc>
          <w:tcPr>
            <w:tcW w:type="dxa" w:w="2448"/>
            <w:vAlign w:val="center"/>
            <w:shd w:fill="FFFFFF"/>
          </w:tcPr>
          <w:p>
            <w:r/>
            <w:r>
              <w:rPr>
                <w:rFonts w:ascii="Aptos" w:hAnsi="Aptos"/>
                <w:b w:val="0"/>
                <w:sz w:val="19"/>
              </w:rPr>
              <w:t>Flat</w:t>
            </w:r>
          </w:p>
        </w:tc>
        <w:tc>
          <w:tcPr>
            <w:tcW w:type="dxa" w:w="2448"/>
            <w:vAlign w:val="center"/>
            <w:shd w:fill="FFFFFF"/>
          </w:tcPr>
          <w:p>
            <w:r/>
            <w:r>
              <w:rPr>
                <w:rFonts w:ascii="Aptos" w:hAnsi="Aptos"/>
                <w:b w:val="0"/>
                <w:sz w:val="19"/>
              </w:rPr>
              <w:t>£0.00</w:t>
            </w:r>
          </w:p>
        </w:tc>
        <w:tc>
          <w:tcPr>
            <w:tcW w:type="dxa" w:w="2448"/>
            <w:vAlign w:val="center"/>
            <w:shd w:fill="FFFFFF"/>
          </w:tcPr>
          <w:p>
            <w:r/>
            <w:r>
              <w:rPr>
                <w:rFonts w:ascii="Aptos" w:hAnsi="Aptos"/>
                <w:b w:val="0"/>
                <w:sz w:val="19"/>
              </w:rPr>
              <w:t>Broad market exposure stayed steady.</w:t>
            </w:r>
          </w:p>
        </w:tc>
      </w:tr>
      <w:tr>
        <w:tc>
          <w:tcPr>
            <w:tcW w:type="dxa" w:w="2448"/>
            <w:vAlign w:val="center"/>
            <w:shd w:fill="FFFFFF"/>
          </w:tcPr>
          <w:p>
            <w:r/>
            <w:r>
              <w:rPr>
                <w:rFonts w:ascii="Aptos" w:hAnsi="Aptos"/>
                <w:b w:val="0"/>
                <w:sz w:val="19"/>
              </w:rPr>
              <w:t>Airbnb</w:t>
            </w:r>
          </w:p>
        </w:tc>
        <w:tc>
          <w:tcPr>
            <w:tcW w:type="dxa" w:w="2448"/>
            <w:vAlign w:val="center"/>
            <w:shd w:fill="FFFFFF"/>
          </w:tcPr>
          <w:p>
            <w:r/>
            <w:r>
              <w:rPr>
                <w:rFonts w:ascii="Aptos" w:hAnsi="Aptos"/>
                <w:b w:val="0"/>
                <w:sz w:val="19"/>
              </w:rPr>
              <w:t>-1.2%</w:t>
            </w:r>
          </w:p>
        </w:tc>
        <w:tc>
          <w:tcPr>
            <w:tcW w:type="dxa" w:w="2448"/>
            <w:vAlign w:val="center"/>
            <w:shd w:fill="FFFFFF"/>
          </w:tcPr>
          <w:p>
            <w:r/>
            <w:r>
              <w:rPr>
                <w:rFonts w:ascii="Aptos" w:hAnsi="Aptos"/>
                <w:b w:val="0"/>
                <w:sz w:val="19"/>
              </w:rPr>
              <w:t>-£1.42</w:t>
            </w:r>
          </w:p>
        </w:tc>
        <w:tc>
          <w:tcPr>
            <w:tcW w:type="dxa" w:w="2448"/>
            <w:vAlign w:val="center"/>
            <w:shd w:fill="FFFFFF"/>
          </w:tcPr>
          <w:p>
            <w:r/>
            <w:r>
              <w:rPr>
                <w:rFonts w:ascii="Aptos" w:hAnsi="Aptos"/>
                <w:b w:val="0"/>
                <w:sz w:val="19"/>
              </w:rPr>
              <w:t>Slightly weaker, not a major issue by itself.</w:t>
            </w:r>
          </w:p>
        </w:tc>
      </w:tr>
      <w:tr>
        <w:tc>
          <w:tcPr>
            <w:tcW w:type="dxa" w:w="2448"/>
            <w:vAlign w:val="center"/>
            <w:shd w:fill="FFFFFF"/>
          </w:tcPr>
          <w:p>
            <w:r/>
            <w:r>
              <w:rPr>
                <w:rFonts w:ascii="Aptos" w:hAnsi="Aptos"/>
                <w:b w:val="0"/>
                <w:sz w:val="19"/>
              </w:rPr>
              <w:t>Meta</w:t>
            </w:r>
          </w:p>
        </w:tc>
        <w:tc>
          <w:tcPr>
            <w:tcW w:type="dxa" w:w="2448"/>
            <w:vAlign w:val="center"/>
            <w:shd w:fill="FFFFFF"/>
          </w:tcPr>
          <w:p>
            <w:r/>
            <w:r>
              <w:rPr>
                <w:rFonts w:ascii="Aptos" w:hAnsi="Aptos"/>
                <w:b w:val="0"/>
                <w:sz w:val="19"/>
              </w:rPr>
              <w:t>-1.4%</w:t>
            </w:r>
          </w:p>
        </w:tc>
        <w:tc>
          <w:tcPr>
            <w:tcW w:type="dxa" w:w="2448"/>
            <w:vAlign w:val="center"/>
            <w:shd w:fill="FFFFFF"/>
          </w:tcPr>
          <w:p>
            <w:r/>
            <w:r>
              <w:rPr>
                <w:rFonts w:ascii="Aptos" w:hAnsi="Aptos"/>
                <w:b w:val="0"/>
                <w:sz w:val="19"/>
              </w:rPr>
              <w:t>-£3.39</w:t>
            </w:r>
          </w:p>
        </w:tc>
        <w:tc>
          <w:tcPr>
            <w:tcW w:type="dxa" w:w="2448"/>
            <w:vAlign w:val="center"/>
            <w:shd w:fill="FFFFFF"/>
          </w:tcPr>
          <w:p>
            <w:r/>
            <w:r>
              <w:rPr>
                <w:rFonts w:ascii="Aptos" w:hAnsi="Aptos"/>
                <w:b w:val="0"/>
                <w:sz w:val="19"/>
              </w:rPr>
              <w:t>Softer week after helping in Week 11.</w:t>
            </w:r>
          </w:p>
        </w:tc>
      </w:tr>
      <w:tr>
        <w:tc>
          <w:tcPr>
            <w:tcW w:type="dxa" w:w="2448"/>
            <w:vAlign w:val="center"/>
            <w:shd w:fill="FFFFFF"/>
          </w:tcPr>
          <w:p>
            <w:r/>
            <w:r>
              <w:rPr>
                <w:rFonts w:ascii="Aptos" w:hAnsi="Aptos"/>
                <w:b w:val="0"/>
                <w:sz w:val="19"/>
              </w:rPr>
              <w:t>SGLN / Gold</w:t>
            </w:r>
          </w:p>
        </w:tc>
        <w:tc>
          <w:tcPr>
            <w:tcW w:type="dxa" w:w="2448"/>
            <w:vAlign w:val="center"/>
            <w:shd w:fill="FFFFFF"/>
          </w:tcPr>
          <w:p>
            <w:r/>
            <w:r>
              <w:rPr>
                <w:rFonts w:ascii="Aptos" w:hAnsi="Aptos"/>
                <w:b w:val="0"/>
                <w:sz w:val="19"/>
              </w:rPr>
              <w:t>-1.4%</w:t>
            </w:r>
          </w:p>
        </w:tc>
        <w:tc>
          <w:tcPr>
            <w:tcW w:type="dxa" w:w="2448"/>
            <w:vAlign w:val="center"/>
            <w:shd w:fill="FFFFFF"/>
          </w:tcPr>
          <w:p>
            <w:r/>
            <w:r>
              <w:rPr>
                <w:rFonts w:ascii="Aptos" w:hAnsi="Aptos"/>
                <w:b w:val="0"/>
                <w:sz w:val="19"/>
              </w:rPr>
              <w:t>-£4.38</w:t>
            </w:r>
          </w:p>
        </w:tc>
        <w:tc>
          <w:tcPr>
            <w:tcW w:type="dxa" w:w="2448"/>
            <w:vAlign w:val="center"/>
            <w:shd w:fill="FFFFFF"/>
          </w:tcPr>
          <w:p>
            <w:r/>
            <w:r>
              <w:rPr>
                <w:rFonts w:ascii="Aptos" w:hAnsi="Aptos"/>
                <w:b w:val="0"/>
                <w:sz w:val="19"/>
              </w:rPr>
              <w:t>Hedge dragged again.</w:t>
            </w:r>
          </w:p>
        </w:tc>
      </w:tr>
      <w:tr>
        <w:tc>
          <w:tcPr>
            <w:tcW w:type="dxa" w:w="2448"/>
            <w:vAlign w:val="center"/>
            <w:shd w:fill="FFFFFF"/>
          </w:tcPr>
          <w:p>
            <w:r/>
            <w:r>
              <w:rPr>
                <w:rFonts w:ascii="Aptos" w:hAnsi="Aptos"/>
                <w:b w:val="0"/>
                <w:sz w:val="19"/>
              </w:rPr>
              <w:t>NextEra</w:t>
            </w:r>
          </w:p>
        </w:tc>
        <w:tc>
          <w:tcPr>
            <w:tcW w:type="dxa" w:w="2448"/>
            <w:vAlign w:val="center"/>
            <w:shd w:fill="FFFFFF"/>
          </w:tcPr>
          <w:p>
            <w:r/>
            <w:r>
              <w:rPr>
                <w:rFonts w:ascii="Aptos" w:hAnsi="Aptos"/>
                <w:b w:val="0"/>
                <w:sz w:val="19"/>
              </w:rPr>
              <w:t>-5.9%</w:t>
            </w:r>
          </w:p>
        </w:tc>
        <w:tc>
          <w:tcPr>
            <w:tcW w:type="dxa" w:w="2448"/>
            <w:vAlign w:val="center"/>
            <w:shd w:fill="FFFFFF"/>
          </w:tcPr>
          <w:p>
            <w:r/>
            <w:r>
              <w:rPr>
                <w:rFonts w:ascii="Aptos" w:hAnsi="Aptos"/>
                <w:b w:val="0"/>
                <w:sz w:val="19"/>
              </w:rPr>
              <w:t>-£8.17</w:t>
            </w:r>
          </w:p>
        </w:tc>
        <w:tc>
          <w:tcPr>
            <w:tcW w:type="dxa" w:w="2448"/>
            <w:vAlign w:val="center"/>
            <w:shd w:fill="FFFFFF"/>
          </w:tcPr>
          <w:p>
            <w:r/>
            <w:r>
              <w:rPr>
                <w:rFonts w:ascii="Aptos" w:hAnsi="Aptos"/>
                <w:b w:val="0"/>
                <w:sz w:val="19"/>
              </w:rPr>
              <w:t>Biggest weekly drag.</w:t>
            </w:r>
          </w:p>
        </w:tc>
      </w:tr>
    </w:tbl>
    <w:p/>
    <w:p>
      <w:pPr>
        <w:spacing w:after="80" w:before="160" w:line="259" w:lineRule="auto"/>
      </w:pPr>
      <w:r>
        <w:rPr>
          <w:rFonts w:ascii="Aptos" w:hAnsi="Aptos"/>
          <w:b/>
          <w:i w:val="0"/>
          <w:sz w:val="24"/>
        </w:rPr>
        <w:t>My takeaway</w:t>
      </w:r>
    </w:p>
    <w:p>
      <w:pPr>
        <w:spacing w:after="140" w:before="0" w:line="259" w:lineRule="auto"/>
      </w:pPr>
      <w:r>
        <w:rPr>
          <w:rFonts w:ascii="Aptos" w:hAnsi="Aptos"/>
          <w:b w:val="0"/>
          <w:i w:val="0"/>
          <w:sz w:val="22"/>
        </w:rPr>
        <w:t>ASML was the best sign because it reminded me why the semiconductor infrastructure theme still mattered. Symbotic’s bounce helped, but I did not want to treat one strong week as proof the risk had gone. Rheinmetall finally had a better week, but I still would not average down aggressively unless it stabilised properly.</w:t>
      </w:r>
    </w:p>
    <w:p>
      <w:pPr>
        <w:spacing w:after="140" w:before="0" w:line="259" w:lineRule="auto"/>
      </w:pPr>
      <w:r>
        <w:rPr>
          <w:rFonts w:ascii="Aptos" w:hAnsi="Aptos"/>
          <w:b w:val="0"/>
          <w:i w:val="0"/>
          <w:sz w:val="22"/>
        </w:rPr>
        <w:t>The account was still slightly below the starting value, but it had moved in the right direction. That was enough for Week 12.</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