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before="0" w:line="259" w:lineRule="auto"/>
      </w:pPr>
      <w:r>
        <w:rPr>
          <w:rFonts w:ascii="Aptos" w:hAnsi="Aptos"/>
          <w:b/>
          <w:i w:val="0"/>
          <w:sz w:val="32"/>
        </w:rPr>
        <w:t>Week 13 - Back above the start and a Microsoft trade</w:t>
      </w:r>
    </w:p>
    <w:p>
      <w:pPr>
        <w:spacing w:after="200" w:before="0" w:line="259" w:lineRule="auto"/>
      </w:pPr>
      <w:r>
        <w:rPr>
          <w:rFonts w:ascii="Aptos" w:hAnsi="Aptos"/>
          <w:b w:val="0"/>
          <w:i/>
          <w:sz w:val="20"/>
        </w:rPr>
        <w:t>Portfolio update to Tuesday 2 June 2026</w:t>
      </w:r>
    </w:p>
    <w:p>
      <w:pPr>
        <w:spacing w:after="80" w:before="160" w:line="259" w:lineRule="auto"/>
      </w:pPr>
      <w:r>
        <w:rPr>
          <w:rFonts w:ascii="Aptos" w:hAnsi="Aptos"/>
          <w:b/>
          <w:i w:val="0"/>
          <w:sz w:val="24"/>
        </w:rPr>
        <w:t>Snapshot</w:t>
      </w:r>
    </w:p>
    <w:tbl>
      <w:tblPr>
        <w:tblW w:type="auto" w:w="0"/>
        <w:jc w:val="left"/>
        <w:tblLayout w:type="autofit"/>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4896"/>
        <w:gridCol w:w="4896"/>
      </w:tblGrid>
      <w:tr>
        <w:tc>
          <w:tcPr>
            <w:tcW w:type="dxa" w:w="4896"/>
            <w:vAlign w:val="center"/>
            <w:shd w:fill="FFFFFF"/>
          </w:tcPr>
          <w:p>
            <w:r/>
            <w:r>
              <w:rPr>
                <w:rFonts w:ascii="Aptos" w:hAnsi="Aptos"/>
                <w:b/>
                <w:sz w:val="19"/>
              </w:rPr>
              <w:t>Current account value</w:t>
            </w:r>
          </w:p>
        </w:tc>
        <w:tc>
          <w:tcPr>
            <w:tcW w:type="dxa" w:w="4896"/>
            <w:vAlign w:val="center"/>
            <w:shd w:fill="FFFFFF"/>
          </w:tcPr>
          <w:p>
            <w:r/>
            <w:r>
              <w:rPr>
                <w:rFonts w:ascii="Aptos" w:hAnsi="Aptos"/>
                <w:b w:val="0"/>
                <w:sz w:val="19"/>
              </w:rPr>
              <w:t>Around £2,007</w:t>
            </w:r>
          </w:p>
        </w:tc>
      </w:tr>
      <w:tr>
        <w:tc>
          <w:tcPr>
            <w:tcW w:type="dxa" w:w="4896"/>
            <w:vAlign w:val="center"/>
            <w:shd w:fill="FFFFFF"/>
          </w:tcPr>
          <w:p>
            <w:r/>
            <w:r>
              <w:rPr>
                <w:rFonts w:ascii="Aptos" w:hAnsi="Aptos"/>
                <w:b/>
                <w:sz w:val="19"/>
              </w:rPr>
              <w:t>Week 12 account value</w:t>
            </w:r>
          </w:p>
        </w:tc>
        <w:tc>
          <w:tcPr>
            <w:tcW w:type="dxa" w:w="4896"/>
            <w:vAlign w:val="center"/>
            <w:shd w:fill="FFFFFF"/>
          </w:tcPr>
          <w:p>
            <w:r/>
            <w:r>
              <w:rPr>
                <w:rFonts w:ascii="Aptos" w:hAnsi="Aptos"/>
                <w:b w:val="0"/>
                <w:sz w:val="19"/>
              </w:rPr>
              <w:t>£1,983.39</w:t>
            </w:r>
          </w:p>
        </w:tc>
      </w:tr>
      <w:tr>
        <w:tc>
          <w:tcPr>
            <w:tcW w:type="dxa" w:w="4896"/>
            <w:vAlign w:val="center"/>
            <w:shd w:fill="FFFFFF"/>
          </w:tcPr>
          <w:p>
            <w:r/>
            <w:r>
              <w:rPr>
                <w:rFonts w:ascii="Aptos" w:hAnsi="Aptos"/>
                <w:b/>
                <w:sz w:val="19"/>
              </w:rPr>
              <w:t>Move since Week 12</w:t>
            </w:r>
          </w:p>
        </w:tc>
        <w:tc>
          <w:tcPr>
            <w:tcW w:type="dxa" w:w="4896"/>
            <w:vAlign w:val="center"/>
            <w:shd w:fill="FFFFFF"/>
          </w:tcPr>
          <w:p>
            <w:r/>
            <w:r>
              <w:rPr>
                <w:rFonts w:ascii="Aptos" w:hAnsi="Aptos"/>
                <w:b w:val="0"/>
                <w:sz w:val="19"/>
              </w:rPr>
              <w:t>+£23.61</w:t>
            </w:r>
          </w:p>
        </w:tc>
      </w:tr>
      <w:tr>
        <w:tc>
          <w:tcPr>
            <w:tcW w:type="dxa" w:w="4896"/>
            <w:vAlign w:val="center"/>
            <w:shd w:fill="FFFFFF"/>
          </w:tcPr>
          <w:p>
            <w:r/>
            <w:r>
              <w:rPr>
                <w:rFonts w:ascii="Aptos" w:hAnsi="Aptos"/>
                <w:b/>
                <w:sz w:val="19"/>
              </w:rPr>
              <w:t>Starting cost basis</w:t>
            </w:r>
          </w:p>
        </w:tc>
        <w:tc>
          <w:tcPr>
            <w:tcW w:type="dxa" w:w="4896"/>
            <w:vAlign w:val="center"/>
            <w:shd w:fill="FFFFFF"/>
          </w:tcPr>
          <w:p>
            <w:r/>
            <w:r>
              <w:rPr>
                <w:rFonts w:ascii="Aptos" w:hAnsi="Aptos"/>
                <w:b w:val="0"/>
                <w:sz w:val="19"/>
              </w:rPr>
              <w:t>£1,999</w:t>
            </w:r>
          </w:p>
        </w:tc>
      </w:tr>
      <w:tr>
        <w:tc>
          <w:tcPr>
            <w:tcW w:type="dxa" w:w="4896"/>
            <w:vAlign w:val="center"/>
            <w:shd w:fill="FFFFFF"/>
          </w:tcPr>
          <w:p>
            <w:r/>
            <w:r>
              <w:rPr>
                <w:rFonts w:ascii="Aptos" w:hAnsi="Aptos"/>
                <w:b/>
                <w:sz w:val="19"/>
              </w:rPr>
              <w:t>Position versus starting value</w:t>
            </w:r>
          </w:p>
        </w:tc>
        <w:tc>
          <w:tcPr>
            <w:tcW w:type="dxa" w:w="4896"/>
            <w:vAlign w:val="center"/>
            <w:shd w:fill="FFFFFF"/>
          </w:tcPr>
          <w:p>
            <w:r/>
            <w:r>
              <w:rPr>
                <w:rFonts w:ascii="Aptos" w:hAnsi="Aptos"/>
                <w:b w:val="0"/>
                <w:sz w:val="19"/>
              </w:rPr>
              <w:t>About +£8</w:t>
            </w:r>
          </w:p>
        </w:tc>
      </w:tr>
      <w:tr>
        <w:tc>
          <w:tcPr>
            <w:tcW w:type="dxa" w:w="4896"/>
            <w:vAlign w:val="center"/>
            <w:shd w:fill="FFFFFF"/>
          </w:tcPr>
          <w:p>
            <w:r/>
            <w:r>
              <w:rPr>
                <w:rFonts w:ascii="Aptos" w:hAnsi="Aptos"/>
                <w:b/>
                <w:sz w:val="19"/>
              </w:rPr>
              <w:t>Cash balance</w:t>
            </w:r>
          </w:p>
        </w:tc>
        <w:tc>
          <w:tcPr>
            <w:tcW w:type="dxa" w:w="4896"/>
            <w:vAlign w:val="center"/>
            <w:shd w:fill="FFFFFF"/>
          </w:tcPr>
          <w:p>
            <w:r/>
            <w:r>
              <w:rPr>
                <w:rFonts w:ascii="Aptos" w:hAnsi="Aptos"/>
                <w:b w:val="0"/>
                <w:sz w:val="19"/>
              </w:rPr>
              <w:t>£261.19</w:t>
            </w:r>
          </w:p>
        </w:tc>
      </w:tr>
      <w:tr>
        <w:tc>
          <w:tcPr>
            <w:tcW w:type="dxa" w:w="4896"/>
            <w:vAlign w:val="center"/>
            <w:shd w:fill="FFFFFF"/>
          </w:tcPr>
          <w:p>
            <w:r/>
            <w:r>
              <w:rPr>
                <w:rFonts w:ascii="Aptos" w:hAnsi="Aptos"/>
                <w:b/>
                <w:sz w:val="19"/>
              </w:rPr>
              <w:t>Main trade</w:t>
            </w:r>
          </w:p>
        </w:tc>
        <w:tc>
          <w:tcPr>
            <w:tcW w:type="dxa" w:w="4896"/>
            <w:vAlign w:val="center"/>
            <w:shd w:fill="FFFFFF"/>
          </w:tcPr>
          <w:p>
            <w:r/>
            <w:r>
              <w:rPr>
                <w:rFonts w:ascii="Aptos" w:hAnsi="Aptos"/>
                <w:b w:val="0"/>
                <w:sz w:val="19"/>
              </w:rPr>
              <w:t>Bought Microsoft with around £140 and sold for roughly 10% profit</w:t>
            </w:r>
          </w:p>
        </w:tc>
      </w:tr>
      <w:tr>
        <w:tc>
          <w:tcPr>
            <w:tcW w:type="dxa" w:w="4896"/>
            <w:vAlign w:val="center"/>
            <w:shd w:fill="FFFFFF"/>
          </w:tcPr>
          <w:p>
            <w:r/>
            <w:r>
              <w:rPr>
                <w:rFonts w:ascii="Aptos" w:hAnsi="Aptos"/>
                <w:b/>
                <w:sz w:val="19"/>
              </w:rPr>
              <w:t>Google position</w:t>
            </w:r>
          </w:p>
        </w:tc>
        <w:tc>
          <w:tcPr>
            <w:tcW w:type="dxa" w:w="4896"/>
            <w:vAlign w:val="center"/>
            <w:shd w:fill="FFFFFF"/>
          </w:tcPr>
          <w:p>
            <w:r/>
            <w:r>
              <w:rPr>
                <w:rFonts w:ascii="Aptos" w:hAnsi="Aptos"/>
                <w:b w:val="0"/>
                <w:sz w:val="19"/>
              </w:rPr>
              <w:t>Still closed; waiting for a better re-entry</w:t>
            </w:r>
          </w:p>
        </w:tc>
      </w:tr>
    </w:tbl>
    <w:p/>
    <w:p>
      <w:pPr>
        <w:spacing w:after="80" w:before="160" w:line="259" w:lineRule="auto"/>
      </w:pPr>
      <w:r>
        <w:rPr>
          <w:rFonts w:ascii="Aptos" w:hAnsi="Aptos"/>
          <w:b/>
          <w:i w:val="0"/>
          <w:sz w:val="24"/>
        </w:rPr>
        <w:t>Back above where I started</w:t>
      </w:r>
    </w:p>
    <w:p>
      <w:pPr>
        <w:spacing w:after="140" w:before="0" w:line="259" w:lineRule="auto"/>
      </w:pPr>
      <w:r>
        <w:rPr>
          <w:rFonts w:ascii="Aptos" w:hAnsi="Aptos"/>
          <w:b w:val="0"/>
          <w:i w:val="0"/>
          <w:sz w:val="22"/>
        </w:rPr>
        <w:t>Week 13 was positive for the portfolio. The account moved from £1,983.39 to around £2,007, which put it slightly above the original starting point again. The gain was not massive, but getting back above the starting value mattered because the account had recovered from the weaker period.</w:t>
      </w:r>
    </w:p>
    <w:p>
      <w:pPr>
        <w:spacing w:after="140" w:before="0" w:line="259" w:lineRule="auto"/>
      </w:pPr>
      <w:r>
        <w:rPr>
          <w:rFonts w:ascii="Aptos" w:hAnsi="Aptos"/>
          <w:b w:val="0"/>
          <w:i w:val="0"/>
          <w:sz w:val="22"/>
        </w:rPr>
        <w:t>I was still waiting to re-enter Google. My plan was only to start considering it if the price moved closer to $365, and even then I did not want to deploy all the cash at once. I wanted the price to come to me rather than chase it.</w:t>
      </w:r>
    </w:p>
    <w:p>
      <w:pPr>
        <w:spacing w:after="80" w:before="160" w:line="259" w:lineRule="auto"/>
      </w:pPr>
      <w:r>
        <w:rPr>
          <w:rFonts w:ascii="Aptos" w:hAnsi="Aptos"/>
          <w:b/>
          <w:i w:val="0"/>
          <w:sz w:val="24"/>
        </w:rPr>
        <w:t>The Microsoft trade</w:t>
      </w:r>
    </w:p>
    <w:p>
      <w:pPr>
        <w:spacing w:after="140" w:before="0" w:line="259" w:lineRule="auto"/>
      </w:pPr>
      <w:r>
        <w:rPr>
          <w:rFonts w:ascii="Aptos" w:hAnsi="Aptos"/>
          <w:b w:val="0"/>
          <w:i w:val="0"/>
          <w:sz w:val="22"/>
        </w:rPr>
        <w:t>I made a Microsoft trade during the week that I had not mentioned at the time. I bought around £140 of Microsoft because it was one of the only mega-cap technology stocks that had been down over the past year, so I felt it was relatively safer compared with some of the more stretched tech names.</w:t>
      </w:r>
    </w:p>
    <w:p>
      <w:pPr>
        <w:spacing w:after="140" w:before="0" w:line="259" w:lineRule="auto"/>
      </w:pPr>
      <w:r>
        <w:rPr>
          <w:rFonts w:ascii="Aptos" w:hAnsi="Aptos"/>
          <w:b w:val="0"/>
          <w:i w:val="0"/>
          <w:sz w:val="22"/>
        </w:rPr>
        <w:t>The trade worked. I sold the full position for roughly a 10% profit, which is why the cash position increased by about £14. But the lesson was not just that the trade made money. The bigger lesson was that I need to communicate trades properly before or when they happen. The account is meant to be run with discipline and written reasoning, so I need to stick to that process.</w:t>
      </w:r>
    </w:p>
    <w:p>
      <w:pPr>
        <w:spacing w:after="80" w:before="160" w:line="259" w:lineRule="auto"/>
      </w:pPr>
      <w:r>
        <w:rPr>
          <w:rFonts w:ascii="Aptos" w:hAnsi="Aptos"/>
          <w:b/>
          <w:i w:val="0"/>
          <w:sz w:val="24"/>
        </w:rPr>
        <w:t>The market and my own mindset</w:t>
      </w:r>
    </w:p>
    <w:p>
      <w:pPr>
        <w:spacing w:after="140" w:before="0" w:line="259" w:lineRule="auto"/>
      </w:pPr>
      <w:r>
        <w:rPr>
          <w:rFonts w:ascii="Aptos" w:hAnsi="Aptos"/>
          <w:b w:val="0"/>
          <w:i w:val="0"/>
          <w:sz w:val="22"/>
        </w:rPr>
        <w:t>Markets had been very strong, and for the most part my trades had played out well. The reason the portfolio did not look stronger was mainly because gold was still down around 11.5%, with a cash loss of about £40.</w:t>
      </w:r>
    </w:p>
    <w:p>
      <w:pPr>
        <w:spacing w:after="140" w:before="0" w:line="259" w:lineRule="auto"/>
      </w:pPr>
      <w:r>
        <w:rPr>
          <w:rFonts w:ascii="Aptos" w:hAnsi="Aptos"/>
          <w:b w:val="0"/>
          <w:i w:val="0"/>
          <w:sz w:val="22"/>
        </w:rPr>
        <w:t>I was starting to feel more cautious. U.S. markets were around record highs, driven mainly by enthusiasm around AI and technology. That helped positions like ASML, QQQA, VUAG, Meta and the Microsoft trade. But reading The Intelligent Investor made me think more carefully about bull markets and how dangerous it can be when people start believing prices can keep rising forever.</w:t>
      </w:r>
    </w:p>
    <w:p>
      <w:pPr>
        <w:spacing w:after="140" w:before="0" w:line="259" w:lineRule="auto"/>
      </w:pPr>
      <w:r>
        <w:rPr>
          <w:rFonts w:ascii="Aptos" w:hAnsi="Aptos"/>
          <w:b w:val="0"/>
          <w:i w:val="0"/>
          <w:sz w:val="22"/>
        </w:rPr>
        <w:t>I realised that I had started to feel a bit like that myself with AI. That was probably the exact moment when I needed to become more disciplined, not more aggressive.</w:t>
      </w:r>
    </w:p>
    <w:p>
      <w:pPr>
        <w:spacing w:after="80" w:before="160" w:line="259" w:lineRule="auto"/>
      </w:pPr>
      <w:r>
        <w:rPr>
          <w:rFonts w:ascii="Aptos" w:hAnsi="Aptos"/>
          <w:b/>
          <w:i w:val="0"/>
          <w:sz w:val="24"/>
        </w:rPr>
        <w:t>What was helping and hurting</w:t>
      </w:r>
    </w:p>
    <w:p>
      <w:pPr>
        <w:spacing w:after="140" w:before="0" w:line="259" w:lineRule="auto"/>
      </w:pPr>
      <w:r>
        <w:rPr>
          <w:rFonts w:ascii="Aptos" w:hAnsi="Aptos"/>
          <w:b w:val="0"/>
          <w:i w:val="0"/>
          <w:sz w:val="22"/>
        </w:rPr>
        <w:t>QQQ had continued to rally and was up around 24%, even after I had taken some profits earlier. VUAG was up around 12%, which was exactly what I wanted from a core S&amp;P 500 holding. ASML was also strong, up around 25%, showing that the AI infrastructure theme was still working.</w:t>
      </w:r>
    </w:p>
    <w:p>
      <w:pPr>
        <w:spacing w:after="140" w:before="0" w:line="259" w:lineRule="auto"/>
      </w:pPr>
      <w:r>
        <w:rPr>
          <w:rFonts w:ascii="Aptos" w:hAnsi="Aptos"/>
          <w:b w:val="0"/>
          <w:i w:val="0"/>
          <w:sz w:val="22"/>
        </w:rPr>
        <w:t>The biggest drag was still gold. Rheinmetall was the biggest percentage loser, down around 25% or about £30. Realty Income and NextEra were also weak because of rates. Meta was slightly down, but I was not worried about the business because I use its products constantly and understand the strength of the company personally.</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