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16 - A pullback and the Pershing Square buy</w:t>
      </w:r>
    </w:p>
    <w:p>
      <w:pPr>
        <w:spacing w:after="200" w:before="0" w:line="259" w:lineRule="auto"/>
      </w:pPr>
      <w:r>
        <w:rPr>
          <w:rFonts w:ascii="Aptos" w:hAnsi="Aptos"/>
          <w:b w:val="0"/>
          <w:i/>
          <w:sz w:val="20"/>
        </w:rPr>
        <w:t>Portfolio update to Tuesday 23 June 2026</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Current account value</w:t>
            </w:r>
          </w:p>
        </w:tc>
        <w:tc>
          <w:tcPr>
            <w:tcW w:type="dxa" w:w="4896"/>
            <w:vAlign w:val="center"/>
            <w:shd w:fill="FFFFFF"/>
          </w:tcPr>
          <w:p>
            <w:r/>
            <w:r>
              <w:rPr>
                <w:rFonts w:ascii="Aptos" w:hAnsi="Aptos"/>
                <w:b w:val="0"/>
                <w:sz w:val="19"/>
              </w:rPr>
              <w:t>Around £1,981</w:t>
            </w:r>
          </w:p>
        </w:tc>
      </w:tr>
      <w:tr>
        <w:tc>
          <w:tcPr>
            <w:tcW w:type="dxa" w:w="4896"/>
            <w:vAlign w:val="center"/>
            <w:shd w:fill="FFFFFF"/>
          </w:tcPr>
          <w:p>
            <w:r/>
            <w:r>
              <w:rPr>
                <w:rFonts w:ascii="Aptos" w:hAnsi="Aptos"/>
                <w:b/>
                <w:sz w:val="19"/>
              </w:rPr>
              <w:t>Week 15 account value</w:t>
            </w:r>
          </w:p>
        </w:tc>
        <w:tc>
          <w:tcPr>
            <w:tcW w:type="dxa" w:w="4896"/>
            <w:vAlign w:val="center"/>
            <w:shd w:fill="FFFFFF"/>
          </w:tcPr>
          <w:p>
            <w:r/>
            <w:r>
              <w:rPr>
                <w:rFonts w:ascii="Aptos" w:hAnsi="Aptos"/>
                <w:b w:val="0"/>
                <w:sz w:val="19"/>
              </w:rPr>
              <w:t>£2,055.86</w:t>
            </w:r>
          </w:p>
        </w:tc>
      </w:tr>
      <w:tr>
        <w:tc>
          <w:tcPr>
            <w:tcW w:type="dxa" w:w="4896"/>
            <w:vAlign w:val="center"/>
            <w:shd w:fill="FFFFFF"/>
          </w:tcPr>
          <w:p>
            <w:r/>
            <w:r>
              <w:rPr>
                <w:rFonts w:ascii="Aptos" w:hAnsi="Aptos"/>
                <w:b/>
                <w:sz w:val="19"/>
              </w:rPr>
              <w:t>Weekly move</w:t>
            </w:r>
          </w:p>
        </w:tc>
        <w:tc>
          <w:tcPr>
            <w:tcW w:type="dxa" w:w="4896"/>
            <w:vAlign w:val="center"/>
            <w:shd w:fill="FFFFFF"/>
          </w:tcPr>
          <w:p>
            <w:r/>
            <w:r>
              <w:rPr>
                <w:rFonts w:ascii="Aptos" w:hAnsi="Aptos"/>
                <w:b w:val="0"/>
                <w:sz w:val="19"/>
              </w:rPr>
              <w:t>About -£74.86</w:t>
            </w:r>
          </w:p>
        </w:tc>
      </w:tr>
      <w:tr>
        <w:tc>
          <w:tcPr>
            <w:tcW w:type="dxa" w:w="4896"/>
            <w:vAlign w:val="center"/>
            <w:shd w:fill="FFFFFF"/>
          </w:tcPr>
          <w:p>
            <w:r/>
            <w:r>
              <w:rPr>
                <w:rFonts w:ascii="Aptos" w:hAnsi="Aptos"/>
                <w:b/>
                <w:sz w:val="19"/>
              </w:rPr>
              <w:t>Starting capital</w:t>
            </w:r>
          </w:p>
        </w:tc>
        <w:tc>
          <w:tcPr>
            <w:tcW w:type="dxa" w:w="4896"/>
            <w:vAlign w:val="center"/>
            <w:shd w:fill="FFFFFF"/>
          </w:tcPr>
          <w:p>
            <w:r/>
            <w:r>
              <w:rPr>
                <w:rFonts w:ascii="Aptos" w:hAnsi="Aptos"/>
                <w:b w:val="0"/>
                <w:sz w:val="19"/>
              </w:rPr>
              <w:t>£1,999</w:t>
            </w:r>
          </w:p>
        </w:tc>
      </w:tr>
      <w:tr>
        <w:tc>
          <w:tcPr>
            <w:tcW w:type="dxa" w:w="4896"/>
            <w:vAlign w:val="center"/>
            <w:shd w:fill="FFFFFF"/>
          </w:tcPr>
          <w:p>
            <w:r/>
            <w:r>
              <w:rPr>
                <w:rFonts w:ascii="Aptos" w:hAnsi="Aptos"/>
                <w:b/>
                <w:sz w:val="19"/>
              </w:rPr>
              <w:t>Position versus starting value</w:t>
            </w:r>
          </w:p>
        </w:tc>
        <w:tc>
          <w:tcPr>
            <w:tcW w:type="dxa" w:w="4896"/>
            <w:vAlign w:val="center"/>
            <w:shd w:fill="FFFFFF"/>
          </w:tcPr>
          <w:p>
            <w:r/>
            <w:r>
              <w:rPr>
                <w:rFonts w:ascii="Aptos" w:hAnsi="Aptos"/>
                <w:b w:val="0"/>
                <w:sz w:val="19"/>
              </w:rPr>
              <w:t>About -£18</w:t>
            </w:r>
          </w:p>
        </w:tc>
      </w:tr>
      <w:tr>
        <w:tc>
          <w:tcPr>
            <w:tcW w:type="dxa" w:w="4896"/>
            <w:vAlign w:val="center"/>
            <w:shd w:fill="FFFFFF"/>
          </w:tcPr>
          <w:p>
            <w:r/>
            <w:r>
              <w:rPr>
                <w:rFonts w:ascii="Aptos" w:hAnsi="Aptos"/>
                <w:b/>
                <w:sz w:val="19"/>
              </w:rPr>
              <w:t>Investments</w:t>
            </w:r>
          </w:p>
        </w:tc>
        <w:tc>
          <w:tcPr>
            <w:tcW w:type="dxa" w:w="4896"/>
            <w:vAlign w:val="center"/>
            <w:shd w:fill="FFFFFF"/>
          </w:tcPr>
          <w:p>
            <w:r/>
            <w:r>
              <w:rPr>
                <w:rFonts w:ascii="Aptos" w:hAnsi="Aptos"/>
                <w:b w:val="0"/>
                <w:sz w:val="19"/>
              </w:rPr>
              <w:t>Around £1,940.90</w:t>
            </w:r>
          </w:p>
        </w:tc>
      </w:tr>
      <w:tr>
        <w:tc>
          <w:tcPr>
            <w:tcW w:type="dxa" w:w="4896"/>
            <w:vAlign w:val="center"/>
            <w:shd w:fill="FFFFFF"/>
          </w:tcPr>
          <w:p>
            <w:r/>
            <w:r>
              <w:rPr>
                <w:rFonts w:ascii="Aptos" w:hAnsi="Aptos"/>
                <w:b/>
                <w:sz w:val="19"/>
              </w:rPr>
              <w:t>Cash balance</w:t>
            </w:r>
          </w:p>
        </w:tc>
        <w:tc>
          <w:tcPr>
            <w:tcW w:type="dxa" w:w="4896"/>
            <w:vAlign w:val="center"/>
            <w:shd w:fill="FFFFFF"/>
          </w:tcPr>
          <w:p>
            <w:r/>
            <w:r>
              <w:rPr>
                <w:rFonts w:ascii="Aptos" w:hAnsi="Aptos"/>
                <w:b w:val="0"/>
                <w:sz w:val="19"/>
              </w:rPr>
              <w:t>£40.07</w:t>
            </w:r>
          </w:p>
        </w:tc>
      </w:tr>
      <w:tr>
        <w:tc>
          <w:tcPr>
            <w:tcW w:type="dxa" w:w="4896"/>
            <w:vAlign w:val="center"/>
            <w:shd w:fill="FFFFFF"/>
          </w:tcPr>
          <w:p>
            <w:r/>
            <w:r>
              <w:rPr>
                <w:rFonts w:ascii="Aptos" w:hAnsi="Aptos"/>
                <w:b/>
                <w:sz w:val="19"/>
              </w:rPr>
              <w:t>Current cost basis</w:t>
            </w:r>
          </w:p>
        </w:tc>
        <w:tc>
          <w:tcPr>
            <w:tcW w:type="dxa" w:w="4896"/>
            <w:vAlign w:val="center"/>
            <w:shd w:fill="FFFFFF"/>
          </w:tcPr>
          <w:p>
            <w:r/>
            <w:r>
              <w:rPr>
                <w:rFonts w:ascii="Aptos" w:hAnsi="Aptos"/>
                <w:b w:val="0"/>
                <w:sz w:val="19"/>
              </w:rPr>
              <w:t>£2,039.64</w:t>
            </w:r>
          </w:p>
        </w:tc>
      </w:tr>
      <w:tr>
        <w:tc>
          <w:tcPr>
            <w:tcW w:type="dxa" w:w="4896"/>
            <w:vAlign w:val="center"/>
            <w:shd w:fill="FFFFFF"/>
          </w:tcPr>
          <w:p>
            <w:r/>
            <w:r>
              <w:rPr>
                <w:rFonts w:ascii="Aptos" w:hAnsi="Aptos"/>
                <w:b/>
                <w:sz w:val="19"/>
              </w:rPr>
              <w:t>Unrealised result</w:t>
            </w:r>
          </w:p>
        </w:tc>
        <w:tc>
          <w:tcPr>
            <w:tcW w:type="dxa" w:w="4896"/>
            <w:vAlign w:val="center"/>
            <w:shd w:fill="FFFFFF"/>
          </w:tcPr>
          <w:p>
            <w:r/>
            <w:r>
              <w:rPr>
                <w:rFonts w:ascii="Aptos" w:hAnsi="Aptos"/>
                <w:b w:val="0"/>
                <w:sz w:val="19"/>
              </w:rPr>
              <w:t>-£98.74 / -4.84%</w:t>
            </w:r>
          </w:p>
        </w:tc>
      </w:tr>
      <w:tr>
        <w:tc>
          <w:tcPr>
            <w:tcW w:type="dxa" w:w="4896"/>
            <w:vAlign w:val="center"/>
            <w:shd w:fill="FFFFFF"/>
          </w:tcPr>
          <w:p>
            <w:r/>
            <w:r>
              <w:rPr>
                <w:rFonts w:ascii="Aptos" w:hAnsi="Aptos"/>
                <w:b/>
                <w:sz w:val="19"/>
              </w:rPr>
              <w:t>Main new trade</w:t>
            </w:r>
          </w:p>
        </w:tc>
        <w:tc>
          <w:tcPr>
            <w:tcW w:type="dxa" w:w="4896"/>
            <w:vAlign w:val="center"/>
            <w:shd w:fill="FFFFFF"/>
          </w:tcPr>
          <w:p>
            <w:r/>
            <w:r>
              <w:rPr>
                <w:rFonts w:ascii="Aptos" w:hAnsi="Aptos"/>
                <w:b w:val="0"/>
                <w:sz w:val="19"/>
              </w:rPr>
              <w:t>Bought 2 shares of Pershing Square Holdings</w:t>
            </w:r>
          </w:p>
        </w:tc>
      </w:tr>
      <w:tr>
        <w:tc>
          <w:tcPr>
            <w:tcW w:type="dxa" w:w="4896"/>
            <w:vAlign w:val="center"/>
            <w:shd w:fill="FFFFFF"/>
          </w:tcPr>
          <w:p>
            <w:r/>
            <w:r>
              <w:rPr>
                <w:rFonts w:ascii="Aptos" w:hAnsi="Aptos"/>
                <w:b/>
                <w:sz w:val="19"/>
              </w:rPr>
              <w:t>Main weekly drag</w:t>
            </w:r>
          </w:p>
        </w:tc>
        <w:tc>
          <w:tcPr>
            <w:tcW w:type="dxa" w:w="4896"/>
            <w:vAlign w:val="center"/>
            <w:shd w:fill="FFFFFF"/>
          </w:tcPr>
          <w:p>
            <w:r/>
            <w:r>
              <w:rPr>
                <w:rFonts w:ascii="Aptos" w:hAnsi="Aptos"/>
                <w:b w:val="0"/>
                <w:sz w:val="19"/>
              </w:rPr>
              <w:t>SpaceX pulling back from last week’s strong gain</w:t>
            </w:r>
          </w:p>
        </w:tc>
      </w:tr>
      <w:tr>
        <w:tc>
          <w:tcPr>
            <w:tcW w:type="dxa" w:w="4896"/>
            <w:vAlign w:val="center"/>
            <w:shd w:fill="FFFFFF"/>
          </w:tcPr>
          <w:p>
            <w:r/>
            <w:r>
              <w:rPr>
                <w:rFonts w:ascii="Aptos" w:hAnsi="Aptos"/>
                <w:b/>
                <w:sz w:val="19"/>
              </w:rPr>
              <w:t>Main lesson</w:t>
            </w:r>
          </w:p>
        </w:tc>
        <w:tc>
          <w:tcPr>
            <w:tcW w:type="dxa" w:w="4896"/>
            <w:vAlign w:val="center"/>
            <w:shd w:fill="FFFFFF"/>
          </w:tcPr>
          <w:p>
            <w:r/>
            <w:r>
              <w:rPr>
                <w:rFonts w:ascii="Aptos" w:hAnsi="Aptos"/>
                <w:b w:val="0"/>
                <w:sz w:val="19"/>
              </w:rPr>
              <w:t>Rebuild cash slowly and keep protecting capital first</w:t>
            </w:r>
          </w:p>
        </w:tc>
      </w:tr>
    </w:tbl>
    <w:p/>
    <w:p>
      <w:pPr>
        <w:spacing w:after="80" w:before="160" w:line="259" w:lineRule="auto"/>
      </w:pPr>
      <w:r>
        <w:rPr>
          <w:rFonts w:ascii="Aptos" w:hAnsi="Aptos"/>
          <w:b/>
          <w:i w:val="0"/>
          <w:sz w:val="24"/>
        </w:rPr>
        <w:t>How the week felt</w:t>
      </w:r>
    </w:p>
    <w:p>
      <w:pPr>
        <w:spacing w:after="140" w:before="0" w:line="259" w:lineRule="auto"/>
      </w:pPr>
      <w:r>
        <w:rPr>
          <w:rFonts w:ascii="Aptos" w:hAnsi="Aptos"/>
          <w:b w:val="0"/>
          <w:i w:val="0"/>
          <w:sz w:val="22"/>
        </w:rPr>
        <w:t>Week 16 did not feel especially good, but it also did not feel terrible. It felt more like a normal pullback after a very strong Week 15. Last week the account looked much stronger because SpaceX was up around 30% and the account was sitting at £2,055.86. This week it was back around £1,981, which is frustrating because it puts the portfolio slightly below the original starting capital again.</w:t>
      </w:r>
    </w:p>
    <w:p>
      <w:pPr>
        <w:spacing w:after="140" w:before="0" w:line="259" w:lineRule="auto"/>
      </w:pPr>
      <w:r>
        <w:rPr>
          <w:rFonts w:ascii="Aptos" w:hAnsi="Aptos"/>
          <w:b w:val="0"/>
          <w:i w:val="0"/>
          <w:sz w:val="22"/>
        </w:rPr>
        <w:t>The main reason the week felt worse on paper was SpaceX. Last week it was the biggest winner in the portfolio. This week it pulled back and was slightly down. That is a big swing in a short period of time, but I do not feel emotional about it. It would have been nice to take some profit when it was up strongly, but I bought SpaceX as a long-term holding, not just as a quick trade.</w:t>
      </w:r>
    </w:p>
    <w:p>
      <w:pPr>
        <w:spacing w:after="80" w:before="160" w:line="259" w:lineRule="auto"/>
      </w:pPr>
      <w:r>
        <w:rPr>
          <w:rFonts w:ascii="Aptos" w:hAnsi="Aptos"/>
          <w:b/>
          <w:i w:val="0"/>
          <w:sz w:val="24"/>
        </w:rPr>
        <w:t>Pershing Square Holdings</w:t>
      </w:r>
    </w:p>
    <w:p>
      <w:pPr>
        <w:spacing w:after="140" w:before="0" w:line="259" w:lineRule="auto"/>
      </w:pPr>
      <w:r>
        <w:rPr>
          <w:rFonts w:ascii="Aptos" w:hAnsi="Aptos"/>
          <w:b w:val="0"/>
          <w:i w:val="0"/>
          <w:sz w:val="22"/>
        </w:rPr>
        <w:t>The main new trade was buying 2 shares of Pershing Square Holdings at 3,922p per share, for a total cost of £78.44. I bought it mainly because of the discount to NAV. The way I see it, I am getting exposure to the companies Pershing owns at a cheaper price than if I bought the underlying companies directly.</w:t>
      </w:r>
    </w:p>
    <w:p>
      <w:pPr>
        <w:spacing w:after="140" w:before="0" w:line="259" w:lineRule="auto"/>
      </w:pPr>
      <w:r>
        <w:rPr>
          <w:rFonts w:ascii="Aptos" w:hAnsi="Aptos"/>
          <w:b w:val="0"/>
          <w:i w:val="0"/>
          <w:sz w:val="22"/>
        </w:rPr>
        <w:t>I also like Bill Ackman as an investor. I have looked up to him for years and I think he has made some of the greatest trades on Wall Street. I see Pershing Square as the type of holding that could compound at around 10% to 15% per year over the next 10 to 20 years if the strategy continues to work.</w:t>
      </w:r>
    </w:p>
    <w:p>
      <w:pPr>
        <w:spacing w:after="140" w:before="0" w:line="259" w:lineRule="auto"/>
      </w:pPr>
      <w:r>
        <w:rPr>
          <w:rFonts w:ascii="Aptos" w:hAnsi="Aptos"/>
          <w:b w:val="0"/>
          <w:i w:val="0"/>
          <w:sz w:val="22"/>
        </w:rPr>
        <w:t>This was not meant to be a quick trade. It was more about adding another high-quality, investor-led holding to the account and giving the portfolio exposure to a different style of investing.</w:t>
      </w:r>
    </w:p>
    <w:p>
      <w:pPr>
        <w:spacing w:after="80" w:before="160" w:line="259" w:lineRule="auto"/>
      </w:pPr>
      <w:r>
        <w:rPr>
          <w:rFonts w:ascii="Aptos" w:hAnsi="Aptos"/>
          <w:b/>
          <w:i w:val="0"/>
          <w:sz w:val="24"/>
        </w:rPr>
        <w:t>Current holdings</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958"/>
        <w:gridCol w:w="1958"/>
        <w:gridCol w:w="1958"/>
        <w:gridCol w:w="1958"/>
        <w:gridCol w:w="1958"/>
      </w:tblGrid>
      <w:tr>
        <w:tc>
          <w:tcPr>
            <w:tcW w:type="dxa" w:w="1958"/>
            <w:vAlign w:val="center"/>
            <w:shd w:fill="FFFFFF"/>
          </w:tcPr>
          <w:p>
            <w:r/>
            <w:r>
              <w:rPr>
                <w:rFonts w:ascii="Aptos" w:hAnsi="Aptos"/>
                <w:b/>
                <w:sz w:val="19"/>
              </w:rPr>
              <w:t>Holding</w:t>
            </w:r>
          </w:p>
        </w:tc>
        <w:tc>
          <w:tcPr>
            <w:tcW w:type="dxa" w:w="1958"/>
            <w:vAlign w:val="center"/>
            <w:shd w:fill="FFFFFF"/>
          </w:tcPr>
          <w:p>
            <w:r/>
            <w:r>
              <w:rPr>
                <w:rFonts w:ascii="Aptos" w:hAnsi="Aptos"/>
                <w:b/>
                <w:sz w:val="19"/>
              </w:rPr>
              <w:t>Ticker</w:t>
            </w:r>
          </w:p>
        </w:tc>
        <w:tc>
          <w:tcPr>
            <w:tcW w:type="dxa" w:w="1958"/>
            <w:vAlign w:val="center"/>
            <w:shd w:fill="FFFFFF"/>
          </w:tcPr>
          <w:p>
            <w:r/>
            <w:r>
              <w:rPr>
                <w:rFonts w:ascii="Aptos" w:hAnsi="Aptos"/>
                <w:b/>
                <w:sz w:val="19"/>
              </w:rPr>
              <w:t>Value</w:t>
            </w:r>
          </w:p>
        </w:tc>
        <w:tc>
          <w:tcPr>
            <w:tcW w:type="dxa" w:w="1958"/>
            <w:vAlign w:val="center"/>
            <w:shd w:fill="FFFFFF"/>
          </w:tcPr>
          <w:p>
            <w:r/>
            <w:r>
              <w:rPr>
                <w:rFonts w:ascii="Aptos" w:hAnsi="Aptos"/>
                <w:b/>
                <w:sz w:val="19"/>
              </w:rPr>
              <w:t>Weight</w:t>
            </w:r>
          </w:p>
        </w:tc>
        <w:tc>
          <w:tcPr>
            <w:tcW w:type="dxa" w:w="1958"/>
            <w:vAlign w:val="center"/>
            <w:shd w:fill="FFFFFF"/>
          </w:tcPr>
          <w:p>
            <w:r/>
            <w:r>
              <w:rPr>
                <w:rFonts w:ascii="Aptos" w:hAnsi="Aptos"/>
                <w:b/>
                <w:sz w:val="19"/>
              </w:rPr>
              <w:t>Result</w:t>
            </w:r>
          </w:p>
        </w:tc>
      </w:tr>
      <w:tr>
        <w:tc>
          <w:tcPr>
            <w:tcW w:type="dxa" w:w="1958"/>
            <w:vAlign w:val="center"/>
            <w:shd w:fill="FFFFFF"/>
          </w:tcPr>
          <w:p>
            <w:r/>
            <w:r>
              <w:rPr>
                <w:rFonts w:ascii="Aptos" w:hAnsi="Aptos"/>
                <w:b w:val="0"/>
                <w:sz w:val="19"/>
              </w:rPr>
              <w:t>iShares Physical Gold</w:t>
            </w:r>
          </w:p>
        </w:tc>
        <w:tc>
          <w:tcPr>
            <w:tcW w:type="dxa" w:w="1958"/>
            <w:vAlign w:val="center"/>
            <w:shd w:fill="FFFFFF"/>
          </w:tcPr>
          <w:p>
            <w:r/>
            <w:r>
              <w:rPr>
                <w:rFonts w:ascii="Aptos" w:hAnsi="Aptos"/>
                <w:b w:val="0"/>
                <w:sz w:val="19"/>
              </w:rPr>
              <w:t>SGLN</w:t>
            </w:r>
          </w:p>
        </w:tc>
        <w:tc>
          <w:tcPr>
            <w:tcW w:type="dxa" w:w="1958"/>
            <w:vAlign w:val="center"/>
            <w:shd w:fill="FFFFFF"/>
          </w:tcPr>
          <w:p>
            <w:r/>
            <w:r>
              <w:rPr>
                <w:rFonts w:ascii="Aptos" w:hAnsi="Aptos"/>
                <w:b w:val="0"/>
                <w:sz w:val="19"/>
              </w:rPr>
              <w:t>£350.71</w:t>
            </w:r>
          </w:p>
        </w:tc>
        <w:tc>
          <w:tcPr>
            <w:tcW w:type="dxa" w:w="1958"/>
            <w:vAlign w:val="center"/>
            <w:shd w:fill="FFFFFF"/>
          </w:tcPr>
          <w:p>
            <w:r/>
            <w:r>
              <w:rPr>
                <w:rFonts w:ascii="Aptos" w:hAnsi="Aptos"/>
                <w:b w:val="0"/>
                <w:sz w:val="19"/>
              </w:rPr>
              <w:t>18.07%</w:t>
            </w:r>
          </w:p>
        </w:tc>
        <w:tc>
          <w:tcPr>
            <w:tcW w:type="dxa" w:w="1958"/>
            <w:vAlign w:val="center"/>
            <w:shd w:fill="FFFFFF"/>
          </w:tcPr>
          <w:p>
            <w:r/>
            <w:r>
              <w:rPr>
                <w:rFonts w:ascii="Aptos" w:hAnsi="Aptos"/>
                <w:b w:val="0"/>
                <w:sz w:val="19"/>
              </w:rPr>
              <w:t>-£57.99 / -14.19%</w:t>
            </w:r>
          </w:p>
        </w:tc>
      </w:tr>
      <w:tr>
        <w:tc>
          <w:tcPr>
            <w:tcW w:type="dxa" w:w="1958"/>
            <w:vAlign w:val="center"/>
            <w:shd w:fill="FFFFFF"/>
          </w:tcPr>
          <w:p>
            <w:r/>
            <w:r>
              <w:rPr>
                <w:rFonts w:ascii="Aptos" w:hAnsi="Aptos"/>
                <w:b w:val="0"/>
                <w:sz w:val="19"/>
              </w:rPr>
              <w:t>Vanguard S&amp;P 500 (Acc)</w:t>
            </w:r>
          </w:p>
        </w:tc>
        <w:tc>
          <w:tcPr>
            <w:tcW w:type="dxa" w:w="1958"/>
            <w:vAlign w:val="center"/>
            <w:shd w:fill="FFFFFF"/>
          </w:tcPr>
          <w:p>
            <w:r/>
            <w:r>
              <w:rPr>
                <w:rFonts w:ascii="Aptos" w:hAnsi="Aptos"/>
                <w:b w:val="0"/>
                <w:sz w:val="19"/>
              </w:rPr>
              <w:t>VUAG</w:t>
            </w:r>
          </w:p>
        </w:tc>
        <w:tc>
          <w:tcPr>
            <w:tcW w:type="dxa" w:w="1958"/>
            <w:vAlign w:val="center"/>
            <w:shd w:fill="FFFFFF"/>
          </w:tcPr>
          <w:p>
            <w:r/>
            <w:r>
              <w:rPr>
                <w:rFonts w:ascii="Aptos" w:hAnsi="Aptos"/>
                <w:b w:val="0"/>
                <w:sz w:val="19"/>
              </w:rPr>
              <w:t>£221.75</w:t>
            </w:r>
          </w:p>
        </w:tc>
        <w:tc>
          <w:tcPr>
            <w:tcW w:type="dxa" w:w="1958"/>
            <w:vAlign w:val="center"/>
            <w:shd w:fill="FFFFFF"/>
          </w:tcPr>
          <w:p>
            <w:r/>
            <w:r>
              <w:rPr>
                <w:rFonts w:ascii="Aptos" w:hAnsi="Aptos"/>
                <w:b w:val="0"/>
                <w:sz w:val="19"/>
              </w:rPr>
              <w:t>11.43%</w:t>
            </w:r>
          </w:p>
        </w:tc>
        <w:tc>
          <w:tcPr>
            <w:tcW w:type="dxa" w:w="1958"/>
            <w:vAlign w:val="center"/>
            <w:shd w:fill="FFFFFF"/>
          </w:tcPr>
          <w:p>
            <w:r/>
            <w:r>
              <w:rPr>
                <w:rFonts w:ascii="Aptos" w:hAnsi="Aptos"/>
                <w:b w:val="0"/>
                <w:sz w:val="19"/>
              </w:rPr>
              <w:t>+£23.75 / +11.99%</w:t>
            </w:r>
          </w:p>
        </w:tc>
      </w:tr>
      <w:tr>
        <w:tc>
          <w:tcPr>
            <w:tcW w:type="dxa" w:w="1958"/>
            <w:vAlign w:val="center"/>
            <w:shd w:fill="FFFFFF"/>
          </w:tcPr>
          <w:p>
            <w:r/>
            <w:r>
              <w:rPr>
                <w:rFonts w:ascii="Aptos" w:hAnsi="Aptos"/>
                <w:b w:val="0"/>
                <w:sz w:val="19"/>
              </w:rPr>
              <w:t>Meta Platforms</w:t>
            </w:r>
          </w:p>
        </w:tc>
        <w:tc>
          <w:tcPr>
            <w:tcW w:type="dxa" w:w="1958"/>
            <w:vAlign w:val="center"/>
            <w:shd w:fill="FFFFFF"/>
          </w:tcPr>
          <w:p>
            <w:r/>
            <w:r>
              <w:rPr>
                <w:rFonts w:ascii="Aptos" w:hAnsi="Aptos"/>
                <w:b w:val="0"/>
                <w:sz w:val="19"/>
              </w:rPr>
              <w:t>META</w:t>
            </w:r>
          </w:p>
        </w:tc>
        <w:tc>
          <w:tcPr>
            <w:tcW w:type="dxa" w:w="1958"/>
            <w:vAlign w:val="center"/>
            <w:shd w:fill="FFFFFF"/>
          </w:tcPr>
          <w:p>
            <w:r/>
            <w:r>
              <w:rPr>
                <w:rFonts w:ascii="Aptos" w:hAnsi="Aptos"/>
                <w:b w:val="0"/>
                <w:sz w:val="19"/>
              </w:rPr>
              <w:t>£220.14</w:t>
            </w:r>
          </w:p>
        </w:tc>
        <w:tc>
          <w:tcPr>
            <w:tcW w:type="dxa" w:w="1958"/>
            <w:vAlign w:val="center"/>
            <w:shd w:fill="FFFFFF"/>
          </w:tcPr>
          <w:p>
            <w:r/>
            <w:r>
              <w:rPr>
                <w:rFonts w:ascii="Aptos" w:hAnsi="Aptos"/>
                <w:b w:val="0"/>
                <w:sz w:val="19"/>
              </w:rPr>
              <w:t>11.34%</w:t>
            </w:r>
          </w:p>
        </w:tc>
        <w:tc>
          <w:tcPr>
            <w:tcW w:type="dxa" w:w="1958"/>
            <w:vAlign w:val="center"/>
            <w:shd w:fill="FFFFFF"/>
          </w:tcPr>
          <w:p>
            <w:r/>
            <w:r>
              <w:rPr>
                <w:rFonts w:ascii="Aptos" w:hAnsi="Aptos"/>
                <w:b w:val="0"/>
                <w:sz w:val="19"/>
              </w:rPr>
              <w:t>-£25.76 / -10.48%</w:t>
            </w:r>
          </w:p>
        </w:tc>
      </w:tr>
      <w:tr>
        <w:tc>
          <w:tcPr>
            <w:tcW w:type="dxa" w:w="1958"/>
            <w:vAlign w:val="center"/>
            <w:shd w:fill="FFFFFF"/>
          </w:tcPr>
          <w:p>
            <w:r/>
            <w:r>
              <w:rPr>
                <w:rFonts w:ascii="Aptos" w:hAnsi="Aptos"/>
                <w:b w:val="0"/>
                <w:sz w:val="19"/>
              </w:rPr>
              <w:t>Realty Income</w:t>
            </w:r>
          </w:p>
        </w:tc>
        <w:tc>
          <w:tcPr>
            <w:tcW w:type="dxa" w:w="1958"/>
            <w:vAlign w:val="center"/>
            <w:shd w:fill="FFFFFF"/>
          </w:tcPr>
          <w:p>
            <w:r/>
            <w:r>
              <w:rPr>
                <w:rFonts w:ascii="Aptos" w:hAnsi="Aptos"/>
                <w:b w:val="0"/>
                <w:sz w:val="19"/>
              </w:rPr>
              <w:t>O</w:t>
            </w:r>
          </w:p>
        </w:tc>
        <w:tc>
          <w:tcPr>
            <w:tcW w:type="dxa" w:w="1958"/>
            <w:vAlign w:val="center"/>
            <w:shd w:fill="FFFFFF"/>
          </w:tcPr>
          <w:p>
            <w:r/>
            <w:r>
              <w:rPr>
                <w:rFonts w:ascii="Aptos" w:hAnsi="Aptos"/>
                <w:b w:val="0"/>
                <w:sz w:val="19"/>
              </w:rPr>
              <w:t>£150.14</w:t>
            </w:r>
          </w:p>
        </w:tc>
        <w:tc>
          <w:tcPr>
            <w:tcW w:type="dxa" w:w="1958"/>
            <w:vAlign w:val="center"/>
            <w:shd w:fill="FFFFFF"/>
          </w:tcPr>
          <w:p>
            <w:r/>
            <w:r>
              <w:rPr>
                <w:rFonts w:ascii="Aptos" w:hAnsi="Aptos"/>
                <w:b w:val="0"/>
                <w:sz w:val="19"/>
              </w:rPr>
              <w:t>7.74%</w:t>
            </w:r>
          </w:p>
        </w:tc>
        <w:tc>
          <w:tcPr>
            <w:tcW w:type="dxa" w:w="1958"/>
            <w:vAlign w:val="center"/>
            <w:shd w:fill="FFFFFF"/>
          </w:tcPr>
          <w:p>
            <w:r/>
            <w:r>
              <w:rPr>
                <w:rFonts w:ascii="Aptos" w:hAnsi="Aptos"/>
                <w:b w:val="0"/>
                <w:sz w:val="19"/>
              </w:rPr>
              <w:t>-£11.51 / -7.12%</w:t>
            </w:r>
          </w:p>
        </w:tc>
      </w:tr>
      <w:tr>
        <w:tc>
          <w:tcPr>
            <w:tcW w:type="dxa" w:w="1958"/>
            <w:vAlign w:val="center"/>
            <w:shd w:fill="FFFFFF"/>
          </w:tcPr>
          <w:p>
            <w:r/>
            <w:r>
              <w:rPr>
                <w:rFonts w:ascii="Aptos" w:hAnsi="Aptos"/>
                <w:b w:val="0"/>
                <w:sz w:val="19"/>
              </w:rPr>
              <w:t>UBS Nasdaq-100 (Acc)</w:t>
            </w:r>
          </w:p>
        </w:tc>
        <w:tc>
          <w:tcPr>
            <w:tcW w:type="dxa" w:w="1958"/>
            <w:vAlign w:val="center"/>
            <w:shd w:fill="FFFFFF"/>
          </w:tcPr>
          <w:p>
            <w:r/>
            <w:r>
              <w:rPr>
                <w:rFonts w:ascii="Aptos" w:hAnsi="Aptos"/>
                <w:b w:val="0"/>
                <w:sz w:val="19"/>
              </w:rPr>
              <w:t>QQQA</w:t>
            </w:r>
          </w:p>
        </w:tc>
        <w:tc>
          <w:tcPr>
            <w:tcW w:type="dxa" w:w="1958"/>
            <w:vAlign w:val="center"/>
            <w:shd w:fill="FFFFFF"/>
          </w:tcPr>
          <w:p>
            <w:r/>
            <w:r>
              <w:rPr>
                <w:rFonts w:ascii="Aptos" w:hAnsi="Aptos"/>
                <w:b w:val="0"/>
                <w:sz w:val="19"/>
              </w:rPr>
              <w:t>£148.01</w:t>
            </w:r>
          </w:p>
        </w:tc>
        <w:tc>
          <w:tcPr>
            <w:tcW w:type="dxa" w:w="1958"/>
            <w:vAlign w:val="center"/>
            <w:shd w:fill="FFFFFF"/>
          </w:tcPr>
          <w:p>
            <w:r/>
            <w:r>
              <w:rPr>
                <w:rFonts w:ascii="Aptos" w:hAnsi="Aptos"/>
                <w:b w:val="0"/>
                <w:sz w:val="19"/>
              </w:rPr>
              <w:t>7.63%</w:t>
            </w:r>
          </w:p>
        </w:tc>
        <w:tc>
          <w:tcPr>
            <w:tcW w:type="dxa" w:w="1958"/>
            <w:vAlign w:val="center"/>
            <w:shd w:fill="FFFFFF"/>
          </w:tcPr>
          <w:p>
            <w:r/>
            <w:r>
              <w:rPr>
                <w:rFonts w:ascii="Aptos" w:hAnsi="Aptos"/>
                <w:b w:val="0"/>
                <w:sz w:val="19"/>
              </w:rPr>
              <w:t>+£29.45 / +24.84%</w:t>
            </w:r>
          </w:p>
        </w:tc>
      </w:tr>
      <w:tr>
        <w:tc>
          <w:tcPr>
            <w:tcW w:type="dxa" w:w="1958"/>
            <w:vAlign w:val="center"/>
            <w:shd w:fill="FFFFFF"/>
          </w:tcPr>
          <w:p>
            <w:r/>
            <w:r>
              <w:rPr>
                <w:rFonts w:ascii="Aptos" w:hAnsi="Aptos"/>
                <w:b w:val="0"/>
                <w:sz w:val="19"/>
              </w:rPr>
              <w:t>Berkshire Hathaway</w:t>
            </w:r>
          </w:p>
        </w:tc>
        <w:tc>
          <w:tcPr>
            <w:tcW w:type="dxa" w:w="1958"/>
            <w:vAlign w:val="center"/>
            <w:shd w:fill="FFFFFF"/>
          </w:tcPr>
          <w:p>
            <w:r/>
            <w:r>
              <w:rPr>
                <w:rFonts w:ascii="Aptos" w:hAnsi="Aptos"/>
                <w:b w:val="0"/>
                <w:sz w:val="19"/>
              </w:rPr>
              <w:t>BRK.B</w:t>
            </w:r>
          </w:p>
        </w:tc>
        <w:tc>
          <w:tcPr>
            <w:tcW w:type="dxa" w:w="1958"/>
            <w:vAlign w:val="center"/>
            <w:shd w:fill="FFFFFF"/>
          </w:tcPr>
          <w:p>
            <w:r/>
            <w:r>
              <w:rPr>
                <w:rFonts w:ascii="Aptos" w:hAnsi="Aptos"/>
                <w:b w:val="0"/>
                <w:sz w:val="19"/>
              </w:rPr>
              <w:t>£143.09</w:t>
            </w:r>
          </w:p>
        </w:tc>
        <w:tc>
          <w:tcPr>
            <w:tcW w:type="dxa" w:w="1958"/>
            <w:vAlign w:val="center"/>
            <w:shd w:fill="FFFFFF"/>
          </w:tcPr>
          <w:p>
            <w:r/>
            <w:r>
              <w:rPr>
                <w:rFonts w:ascii="Aptos" w:hAnsi="Aptos"/>
                <w:b w:val="0"/>
                <w:sz w:val="19"/>
              </w:rPr>
              <w:t>7.37%</w:t>
            </w:r>
          </w:p>
        </w:tc>
        <w:tc>
          <w:tcPr>
            <w:tcW w:type="dxa" w:w="1958"/>
            <w:vAlign w:val="center"/>
            <w:shd w:fill="FFFFFF"/>
          </w:tcPr>
          <w:p>
            <w:r/>
            <w:r>
              <w:rPr>
                <w:rFonts w:ascii="Aptos" w:hAnsi="Aptos"/>
                <w:b w:val="0"/>
                <w:sz w:val="19"/>
              </w:rPr>
              <w:t>+£3.42 / +2.45%</w:t>
            </w:r>
          </w:p>
        </w:tc>
      </w:tr>
      <w:tr>
        <w:tc>
          <w:tcPr>
            <w:tcW w:type="dxa" w:w="1958"/>
            <w:vAlign w:val="center"/>
            <w:shd w:fill="FFFFFF"/>
          </w:tcPr>
          <w:p>
            <w:r/>
            <w:r>
              <w:rPr>
                <w:rFonts w:ascii="Aptos" w:hAnsi="Aptos"/>
                <w:b w:val="0"/>
                <w:sz w:val="19"/>
              </w:rPr>
              <w:t>NextEra Energy</w:t>
            </w:r>
          </w:p>
        </w:tc>
        <w:tc>
          <w:tcPr>
            <w:tcW w:type="dxa" w:w="1958"/>
            <w:vAlign w:val="center"/>
            <w:shd w:fill="FFFFFF"/>
          </w:tcPr>
          <w:p>
            <w:r/>
            <w:r>
              <w:rPr>
                <w:rFonts w:ascii="Aptos" w:hAnsi="Aptos"/>
                <w:b w:val="0"/>
                <w:sz w:val="19"/>
              </w:rPr>
              <w:t>NEE</w:t>
            </w:r>
          </w:p>
        </w:tc>
        <w:tc>
          <w:tcPr>
            <w:tcW w:type="dxa" w:w="1958"/>
            <w:vAlign w:val="center"/>
            <w:shd w:fill="FFFFFF"/>
          </w:tcPr>
          <w:p>
            <w:r/>
            <w:r>
              <w:rPr>
                <w:rFonts w:ascii="Aptos" w:hAnsi="Aptos"/>
                <w:b w:val="0"/>
                <w:sz w:val="19"/>
              </w:rPr>
              <w:t>£132.28</w:t>
            </w:r>
          </w:p>
        </w:tc>
        <w:tc>
          <w:tcPr>
            <w:tcW w:type="dxa" w:w="1958"/>
            <w:vAlign w:val="center"/>
            <w:shd w:fill="FFFFFF"/>
          </w:tcPr>
          <w:p>
            <w:r/>
            <w:r>
              <w:rPr>
                <w:rFonts w:ascii="Aptos" w:hAnsi="Aptos"/>
                <w:b w:val="0"/>
                <w:sz w:val="19"/>
              </w:rPr>
              <w:t>6.82%</w:t>
            </w:r>
          </w:p>
        </w:tc>
        <w:tc>
          <w:tcPr>
            <w:tcW w:type="dxa" w:w="1958"/>
            <w:vAlign w:val="center"/>
            <w:shd w:fill="FFFFFF"/>
          </w:tcPr>
          <w:p>
            <w:r/>
            <w:r>
              <w:rPr>
                <w:rFonts w:ascii="Aptos" w:hAnsi="Aptos"/>
                <w:b w:val="0"/>
                <w:sz w:val="19"/>
              </w:rPr>
              <w:t>-£7.27 / -5.21%</w:t>
            </w:r>
          </w:p>
        </w:tc>
      </w:tr>
      <w:tr>
        <w:tc>
          <w:tcPr>
            <w:tcW w:type="dxa" w:w="1958"/>
            <w:vAlign w:val="center"/>
            <w:shd w:fill="FFFFFF"/>
          </w:tcPr>
          <w:p>
            <w:r/>
            <w:r>
              <w:rPr>
                <w:rFonts w:ascii="Aptos" w:hAnsi="Aptos"/>
                <w:b w:val="0"/>
                <w:sz w:val="19"/>
              </w:rPr>
              <w:t>Airbnb</w:t>
            </w:r>
          </w:p>
        </w:tc>
        <w:tc>
          <w:tcPr>
            <w:tcW w:type="dxa" w:w="1958"/>
            <w:vAlign w:val="center"/>
            <w:shd w:fill="FFFFFF"/>
          </w:tcPr>
          <w:p>
            <w:r/>
            <w:r>
              <w:rPr>
                <w:rFonts w:ascii="Aptos" w:hAnsi="Aptos"/>
                <w:b w:val="0"/>
                <w:sz w:val="19"/>
              </w:rPr>
              <w:t>ABNB</w:t>
            </w:r>
          </w:p>
        </w:tc>
        <w:tc>
          <w:tcPr>
            <w:tcW w:type="dxa" w:w="1958"/>
            <w:vAlign w:val="center"/>
            <w:shd w:fill="FFFFFF"/>
          </w:tcPr>
          <w:p>
            <w:r/>
            <w:r>
              <w:rPr>
                <w:rFonts w:ascii="Aptos" w:hAnsi="Aptos"/>
                <w:b w:val="0"/>
                <w:sz w:val="19"/>
              </w:rPr>
              <w:t>£129.16</w:t>
            </w:r>
          </w:p>
        </w:tc>
        <w:tc>
          <w:tcPr>
            <w:tcW w:type="dxa" w:w="1958"/>
            <w:vAlign w:val="center"/>
            <w:shd w:fill="FFFFFF"/>
          </w:tcPr>
          <w:p>
            <w:r/>
            <w:r>
              <w:rPr>
                <w:rFonts w:ascii="Aptos" w:hAnsi="Aptos"/>
                <w:b w:val="0"/>
                <w:sz w:val="19"/>
              </w:rPr>
              <w:t>6.66%</w:t>
            </w:r>
          </w:p>
        </w:tc>
        <w:tc>
          <w:tcPr>
            <w:tcW w:type="dxa" w:w="1958"/>
            <w:vAlign w:val="center"/>
            <w:shd w:fill="FFFFFF"/>
          </w:tcPr>
          <w:p>
            <w:r/>
            <w:r>
              <w:rPr>
                <w:rFonts w:ascii="Aptos" w:hAnsi="Aptos"/>
                <w:b w:val="0"/>
                <w:sz w:val="19"/>
              </w:rPr>
              <w:t>+£9.60 / +8.03%</w:t>
            </w:r>
          </w:p>
        </w:tc>
      </w:tr>
      <w:tr>
        <w:tc>
          <w:tcPr>
            <w:tcW w:type="dxa" w:w="1958"/>
            <w:vAlign w:val="center"/>
            <w:shd w:fill="FFFFFF"/>
          </w:tcPr>
          <w:p>
            <w:r/>
            <w:r>
              <w:rPr>
                <w:rFonts w:ascii="Aptos" w:hAnsi="Aptos"/>
                <w:b w:val="0"/>
                <w:sz w:val="19"/>
              </w:rPr>
              <w:t>SpaceX</w:t>
            </w:r>
          </w:p>
        </w:tc>
        <w:tc>
          <w:tcPr>
            <w:tcW w:type="dxa" w:w="1958"/>
            <w:vAlign w:val="center"/>
            <w:shd w:fill="FFFFFF"/>
          </w:tcPr>
          <w:p>
            <w:r/>
            <w:r>
              <w:rPr>
                <w:rFonts w:ascii="Aptos" w:hAnsi="Aptos"/>
                <w:b w:val="0"/>
                <w:sz w:val="19"/>
              </w:rPr>
              <w:t>SPCX</w:t>
            </w:r>
          </w:p>
        </w:tc>
        <w:tc>
          <w:tcPr>
            <w:tcW w:type="dxa" w:w="1958"/>
            <w:vAlign w:val="center"/>
            <w:shd w:fill="FFFFFF"/>
          </w:tcPr>
          <w:p>
            <w:r/>
            <w:r>
              <w:rPr>
                <w:rFonts w:ascii="Aptos" w:hAnsi="Aptos"/>
                <w:b w:val="0"/>
                <w:sz w:val="19"/>
              </w:rPr>
              <w:t>£111.62</w:t>
            </w:r>
          </w:p>
        </w:tc>
        <w:tc>
          <w:tcPr>
            <w:tcW w:type="dxa" w:w="1958"/>
            <w:vAlign w:val="center"/>
            <w:shd w:fill="FFFFFF"/>
          </w:tcPr>
          <w:p>
            <w:r/>
            <w:r>
              <w:rPr>
                <w:rFonts w:ascii="Aptos" w:hAnsi="Aptos"/>
                <w:b w:val="0"/>
                <w:sz w:val="19"/>
              </w:rPr>
              <w:t>5.74%</w:t>
            </w:r>
          </w:p>
        </w:tc>
        <w:tc>
          <w:tcPr>
            <w:tcW w:type="dxa" w:w="1958"/>
            <w:vAlign w:val="center"/>
            <w:shd w:fill="FFFFFF"/>
          </w:tcPr>
          <w:p>
            <w:r/>
            <w:r>
              <w:rPr>
                <w:rFonts w:ascii="Aptos" w:hAnsi="Aptos"/>
                <w:b w:val="0"/>
                <w:sz w:val="19"/>
              </w:rPr>
              <w:t>-£7.32 / -6.15%</w:t>
            </w:r>
          </w:p>
        </w:tc>
      </w:tr>
      <w:tr>
        <w:tc>
          <w:tcPr>
            <w:tcW w:type="dxa" w:w="1958"/>
            <w:vAlign w:val="center"/>
            <w:shd w:fill="FFFFFF"/>
          </w:tcPr>
          <w:p>
            <w:r/>
            <w:r>
              <w:rPr>
                <w:rFonts w:ascii="Aptos" w:hAnsi="Aptos"/>
                <w:b w:val="0"/>
                <w:sz w:val="19"/>
              </w:rPr>
              <w:t>Symbotic</w:t>
            </w:r>
          </w:p>
        </w:tc>
        <w:tc>
          <w:tcPr>
            <w:tcW w:type="dxa" w:w="1958"/>
            <w:vAlign w:val="center"/>
            <w:shd w:fill="FFFFFF"/>
          </w:tcPr>
          <w:p>
            <w:r/>
            <w:r>
              <w:rPr>
                <w:rFonts w:ascii="Aptos" w:hAnsi="Aptos"/>
                <w:b w:val="0"/>
                <w:sz w:val="19"/>
              </w:rPr>
              <w:t>SYM</w:t>
            </w:r>
          </w:p>
        </w:tc>
        <w:tc>
          <w:tcPr>
            <w:tcW w:type="dxa" w:w="1958"/>
            <w:vAlign w:val="center"/>
            <w:shd w:fill="FFFFFF"/>
          </w:tcPr>
          <w:p>
            <w:r/>
            <w:r>
              <w:rPr>
                <w:rFonts w:ascii="Aptos" w:hAnsi="Aptos"/>
                <w:b w:val="0"/>
                <w:sz w:val="19"/>
              </w:rPr>
              <w:t>£96.52</w:t>
            </w:r>
          </w:p>
        </w:tc>
        <w:tc>
          <w:tcPr>
            <w:tcW w:type="dxa" w:w="1958"/>
            <w:vAlign w:val="center"/>
            <w:shd w:fill="FFFFFF"/>
          </w:tcPr>
          <w:p>
            <w:r/>
            <w:r>
              <w:rPr>
                <w:rFonts w:ascii="Aptos" w:hAnsi="Aptos"/>
                <w:b w:val="0"/>
                <w:sz w:val="19"/>
              </w:rPr>
              <w:t>4.97%</w:t>
            </w:r>
          </w:p>
        </w:tc>
        <w:tc>
          <w:tcPr>
            <w:tcW w:type="dxa" w:w="1958"/>
            <w:vAlign w:val="center"/>
            <w:shd w:fill="FFFFFF"/>
          </w:tcPr>
          <w:p>
            <w:r/>
            <w:r>
              <w:rPr>
                <w:rFonts w:ascii="Aptos" w:hAnsi="Aptos"/>
                <w:b w:val="0"/>
                <w:sz w:val="19"/>
              </w:rPr>
              <w:t>-£19.92 / -17.11%</w:t>
            </w:r>
          </w:p>
        </w:tc>
      </w:tr>
      <w:tr>
        <w:tc>
          <w:tcPr>
            <w:tcW w:type="dxa" w:w="1958"/>
            <w:vAlign w:val="center"/>
            <w:shd w:fill="FFFFFF"/>
          </w:tcPr>
          <w:p>
            <w:r/>
            <w:r>
              <w:rPr>
                <w:rFonts w:ascii="Aptos" w:hAnsi="Aptos"/>
                <w:b w:val="0"/>
                <w:sz w:val="19"/>
              </w:rPr>
              <w:t>Rheinmetall</w:t>
            </w:r>
          </w:p>
        </w:tc>
        <w:tc>
          <w:tcPr>
            <w:tcW w:type="dxa" w:w="1958"/>
            <w:vAlign w:val="center"/>
            <w:shd w:fill="FFFFFF"/>
          </w:tcPr>
          <w:p>
            <w:r/>
            <w:r>
              <w:rPr>
                <w:rFonts w:ascii="Aptos" w:hAnsi="Aptos"/>
                <w:b w:val="0"/>
                <w:sz w:val="19"/>
              </w:rPr>
              <w:t>RHM</w:t>
            </w:r>
          </w:p>
        </w:tc>
        <w:tc>
          <w:tcPr>
            <w:tcW w:type="dxa" w:w="1958"/>
            <w:vAlign w:val="center"/>
            <w:shd w:fill="FFFFFF"/>
          </w:tcPr>
          <w:p>
            <w:r/>
            <w:r>
              <w:rPr>
                <w:rFonts w:ascii="Aptos" w:hAnsi="Aptos"/>
                <w:b w:val="0"/>
                <w:sz w:val="19"/>
              </w:rPr>
              <w:t>£89.10</w:t>
            </w:r>
          </w:p>
        </w:tc>
        <w:tc>
          <w:tcPr>
            <w:tcW w:type="dxa" w:w="1958"/>
            <w:vAlign w:val="center"/>
            <w:shd w:fill="FFFFFF"/>
          </w:tcPr>
          <w:p>
            <w:r/>
            <w:r>
              <w:rPr>
                <w:rFonts w:ascii="Aptos" w:hAnsi="Aptos"/>
                <w:b w:val="0"/>
                <w:sz w:val="19"/>
              </w:rPr>
              <w:t>4.59%</w:t>
            </w:r>
          </w:p>
        </w:tc>
        <w:tc>
          <w:tcPr>
            <w:tcW w:type="dxa" w:w="1958"/>
            <w:vAlign w:val="center"/>
            <w:shd w:fill="FFFFFF"/>
          </w:tcPr>
          <w:p>
            <w:r/>
            <w:r>
              <w:rPr>
                <w:rFonts w:ascii="Aptos" w:hAnsi="Aptos"/>
                <w:b w:val="0"/>
                <w:sz w:val="19"/>
              </w:rPr>
              <w:t>-£30.22 / -25.33%</w:t>
            </w:r>
          </w:p>
        </w:tc>
      </w:tr>
      <w:tr>
        <w:tc>
          <w:tcPr>
            <w:tcW w:type="dxa" w:w="1958"/>
            <w:vAlign w:val="center"/>
            <w:shd w:fill="FFFFFF"/>
          </w:tcPr>
          <w:p>
            <w:r/>
            <w:r>
              <w:rPr>
                <w:rFonts w:ascii="Aptos" w:hAnsi="Aptos"/>
                <w:b w:val="0"/>
                <w:sz w:val="19"/>
              </w:rPr>
              <w:t>Pershing Square Holdings</w:t>
            </w:r>
          </w:p>
        </w:tc>
        <w:tc>
          <w:tcPr>
            <w:tcW w:type="dxa" w:w="1958"/>
            <w:vAlign w:val="center"/>
            <w:shd w:fill="FFFFFF"/>
          </w:tcPr>
          <w:p>
            <w:r/>
            <w:r>
              <w:rPr>
                <w:rFonts w:ascii="Aptos" w:hAnsi="Aptos"/>
                <w:b w:val="0"/>
                <w:sz w:val="19"/>
              </w:rPr>
              <w:t>PSH</w:t>
            </w:r>
          </w:p>
        </w:tc>
        <w:tc>
          <w:tcPr>
            <w:tcW w:type="dxa" w:w="1958"/>
            <w:vAlign w:val="center"/>
            <w:shd w:fill="FFFFFF"/>
          </w:tcPr>
          <w:p>
            <w:r/>
            <w:r>
              <w:rPr>
                <w:rFonts w:ascii="Aptos" w:hAnsi="Aptos"/>
                <w:b w:val="0"/>
                <w:sz w:val="19"/>
              </w:rPr>
              <w:t>£76.20</w:t>
            </w:r>
          </w:p>
        </w:tc>
        <w:tc>
          <w:tcPr>
            <w:tcW w:type="dxa" w:w="1958"/>
            <w:vAlign w:val="center"/>
            <w:shd w:fill="FFFFFF"/>
          </w:tcPr>
          <w:p>
            <w:r/>
            <w:r>
              <w:rPr>
                <w:rFonts w:ascii="Aptos" w:hAnsi="Aptos"/>
                <w:b w:val="0"/>
                <w:sz w:val="19"/>
              </w:rPr>
              <w:t>3.93%</w:t>
            </w:r>
          </w:p>
        </w:tc>
        <w:tc>
          <w:tcPr>
            <w:tcW w:type="dxa" w:w="1958"/>
            <w:vAlign w:val="center"/>
            <w:shd w:fill="FFFFFF"/>
          </w:tcPr>
          <w:p>
            <w:r/>
            <w:r>
              <w:rPr>
                <w:rFonts w:ascii="Aptos" w:hAnsi="Aptos"/>
                <w:b w:val="0"/>
                <w:sz w:val="19"/>
              </w:rPr>
              <w:t>-£2.24 / -2.86%</w:t>
            </w:r>
          </w:p>
        </w:tc>
      </w:tr>
      <w:tr>
        <w:tc>
          <w:tcPr>
            <w:tcW w:type="dxa" w:w="1958"/>
            <w:vAlign w:val="center"/>
            <w:shd w:fill="FFFFFF"/>
          </w:tcPr>
          <w:p>
            <w:r/>
            <w:r>
              <w:rPr>
                <w:rFonts w:ascii="Aptos" w:hAnsi="Aptos"/>
                <w:b w:val="0"/>
                <w:sz w:val="19"/>
              </w:rPr>
              <w:t>Alphabet Class A</w:t>
            </w:r>
          </w:p>
        </w:tc>
        <w:tc>
          <w:tcPr>
            <w:tcW w:type="dxa" w:w="1958"/>
            <w:vAlign w:val="center"/>
            <w:shd w:fill="FFFFFF"/>
          </w:tcPr>
          <w:p>
            <w:r/>
            <w:r>
              <w:rPr>
                <w:rFonts w:ascii="Aptos" w:hAnsi="Aptos"/>
                <w:b w:val="0"/>
                <w:sz w:val="19"/>
              </w:rPr>
              <w:t>GOOGL</w:t>
            </w:r>
          </w:p>
        </w:tc>
        <w:tc>
          <w:tcPr>
            <w:tcW w:type="dxa" w:w="1958"/>
            <w:vAlign w:val="center"/>
            <w:shd w:fill="FFFFFF"/>
          </w:tcPr>
          <w:p>
            <w:r/>
            <w:r>
              <w:rPr>
                <w:rFonts w:ascii="Aptos" w:hAnsi="Aptos"/>
                <w:b w:val="0"/>
                <w:sz w:val="19"/>
              </w:rPr>
              <w:t>£72.30</w:t>
            </w:r>
          </w:p>
        </w:tc>
        <w:tc>
          <w:tcPr>
            <w:tcW w:type="dxa" w:w="1958"/>
            <w:vAlign w:val="center"/>
            <w:shd w:fill="FFFFFF"/>
          </w:tcPr>
          <w:p>
            <w:r/>
            <w:r>
              <w:rPr>
                <w:rFonts w:ascii="Aptos" w:hAnsi="Aptos"/>
                <w:b w:val="0"/>
                <w:sz w:val="19"/>
              </w:rPr>
              <w:t>3.73%</w:t>
            </w:r>
          </w:p>
        </w:tc>
        <w:tc>
          <w:tcPr>
            <w:tcW w:type="dxa" w:w="1958"/>
            <w:vAlign w:val="center"/>
            <w:shd w:fill="FFFFFF"/>
          </w:tcPr>
          <w:p>
            <w:r/>
            <w:r>
              <w:rPr>
                <w:rFonts w:ascii="Aptos" w:hAnsi="Aptos"/>
                <w:b w:val="0"/>
                <w:sz w:val="19"/>
              </w:rPr>
              <w:t>-£2.62 / -3.50%</w:t>
            </w:r>
          </w:p>
        </w:tc>
      </w:tr>
    </w:tbl>
    <w:p/>
    <w:p>
      <w:pPr>
        <w:spacing w:after="80" w:before="160" w:line="259" w:lineRule="auto"/>
      </w:pPr>
      <w:r>
        <w:rPr>
          <w:rFonts w:ascii="Aptos" w:hAnsi="Aptos"/>
          <w:b/>
          <w:i w:val="0"/>
          <w:sz w:val="24"/>
        </w:rPr>
        <w:t>SpaceX and gold</w:t>
      </w:r>
    </w:p>
    <w:p>
      <w:pPr>
        <w:spacing w:after="140" w:before="0" w:line="259" w:lineRule="auto"/>
      </w:pPr>
      <w:r>
        <w:rPr>
          <w:rFonts w:ascii="Aptos" w:hAnsi="Aptos"/>
          <w:b w:val="0"/>
          <w:i w:val="0"/>
          <w:sz w:val="22"/>
        </w:rPr>
        <w:t>The SpaceX pullback was the biggest change. I still believe in the company long term, and I may look to buy more in the future if I have cash and the price gives me a good opportunity. For now, I am happy holding it and not reacting emotionally to the first proper pullback.</w:t>
      </w:r>
    </w:p>
    <w:p>
      <w:pPr>
        <w:spacing w:after="140" w:before="0" w:line="259" w:lineRule="auto"/>
      </w:pPr>
      <w:r>
        <w:rPr>
          <w:rFonts w:ascii="Aptos" w:hAnsi="Aptos"/>
          <w:b w:val="0"/>
          <w:i w:val="0"/>
          <w:sz w:val="22"/>
        </w:rPr>
        <w:t>Gold is still the largest position and the biggest cash loss. It is frustrating because it has not performed how I would have liked, but I still see it as a hedge. I have been watching and reading more about how governments and central banks think about gold, and that has made me more comfortable with the long-term reason for holding it.</w:t>
      </w:r>
    </w:p>
    <w:p>
      <w:pPr>
        <w:spacing w:after="80" w:before="160" w:line="259" w:lineRule="auto"/>
      </w:pPr>
      <w:r>
        <w:rPr>
          <w:rFonts w:ascii="Aptos" w:hAnsi="Aptos"/>
          <w:b/>
          <w:i w:val="0"/>
          <w:sz w:val="24"/>
        </w:rPr>
        <w:t>The lesson this week</w:t>
      </w:r>
    </w:p>
    <w:p>
      <w:pPr>
        <w:spacing w:after="140" w:before="0" w:line="259" w:lineRule="auto"/>
      </w:pPr>
      <w:r>
        <w:rPr>
          <w:rFonts w:ascii="Aptos" w:hAnsi="Aptos"/>
          <w:b w:val="0"/>
          <w:i w:val="0"/>
          <w:sz w:val="22"/>
        </w:rPr>
        <w:t>The biggest lesson is cash. After buying Pershing Square, the cash balance is only around £40.07. I like the buy, but it means I have used most of my flexibility. Going forward, I need to rebuild cash slowly and keep protecting capital first.</w:t>
      </w:r>
    </w:p>
    <w:p>
      <w:pPr>
        <w:spacing w:after="140" w:before="0" w:line="259" w:lineRule="auto"/>
      </w:pPr>
      <w:r>
        <w:rPr>
          <w:rFonts w:ascii="Aptos" w:hAnsi="Aptos"/>
          <w:b w:val="0"/>
          <w:i w:val="0"/>
          <w:sz w:val="22"/>
        </w:rPr>
        <w:t>I still believe in the positions I own, but Week 16 was a reminder that the portfolio can move quickly in both directions. I do not want to sell good holdings just because of one weak week, but I also do not want to become careless with cash.</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