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75ADD" w14:textId="3B6D9160" w:rsidR="0062115E" w:rsidRPr="001378D7" w:rsidRDefault="00000C93" w:rsidP="001378D7">
      <w:pPr>
        <w:spacing w:after="200"/>
        <w:rPr>
          <w:rFonts w:ascii="Tw Cen MT" w:eastAsia="Times New Roman" w:hAnsi="Tw Cen MT" w:cs="Times New Roman"/>
          <w:caps/>
          <w:color w:val="0070C0"/>
          <w:kern w:val="24"/>
          <w:sz w:val="40"/>
          <w:szCs w:val="110"/>
          <w:lang w:val="es-AR" w:eastAsia="es-AR"/>
          <w14:ligatures w14:val="standardContextual"/>
        </w:rPr>
      </w:pPr>
      <w:r>
        <w:rPr>
          <w:rFonts w:ascii="Tw Cen MT" w:eastAsia="Times New Roman" w:hAnsi="Tw Cen MT" w:cs="Times New Roman"/>
          <w:caps/>
          <w:color w:val="0070C0"/>
          <w:kern w:val="24"/>
          <w:sz w:val="40"/>
          <w:szCs w:val="110"/>
          <w:lang w:val="es-AR" w:eastAsia="es-AR"/>
          <w14:ligatures w14:val="standardContextual"/>
        </w:rPr>
        <w:t>requerimientos de autenticación y permisos</w:t>
      </w:r>
    </w:p>
    <w:p w14:paraId="7401643D" w14:textId="1C6015F7" w:rsidR="005711A3" w:rsidRDefault="001378D7" w:rsidP="001378D7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378D7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El objetivo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es describir el esquema de autenticación</w:t>
      </w:r>
      <w:r w:rsidR="002A4E38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</w:t>
      </w:r>
      <w:r w:rsidR="002A4E38" w:rsidRPr="003963E4">
        <w:rPr>
          <w:rFonts w:asciiTheme="minorHAnsi" w:eastAsiaTheme="minorHAnsi" w:hAnsiTheme="minorHAnsi" w:cstheme="minorBidi"/>
          <w:b/>
          <w:i/>
          <w:color w:val="auto"/>
          <w:sz w:val="24"/>
          <w:lang w:val="es-AR" w:eastAsia="en-US"/>
        </w:rPr>
        <w:t xml:space="preserve">single </w:t>
      </w:r>
      <w:proofErr w:type="spellStart"/>
      <w:r w:rsidR="002A4E38" w:rsidRPr="003963E4">
        <w:rPr>
          <w:rFonts w:asciiTheme="minorHAnsi" w:eastAsiaTheme="minorHAnsi" w:hAnsiTheme="minorHAnsi" w:cstheme="minorBidi"/>
          <w:b/>
          <w:i/>
          <w:color w:val="auto"/>
          <w:sz w:val="24"/>
          <w:lang w:val="es-AR" w:eastAsia="en-US"/>
        </w:rPr>
        <w:t>Sign</w:t>
      </w:r>
      <w:proofErr w:type="spellEnd"/>
      <w:r w:rsidR="002A4E38" w:rsidRPr="003963E4">
        <w:rPr>
          <w:rFonts w:asciiTheme="minorHAnsi" w:eastAsiaTheme="minorHAnsi" w:hAnsiTheme="minorHAnsi" w:cstheme="minorBidi"/>
          <w:b/>
          <w:i/>
          <w:color w:val="auto"/>
          <w:sz w:val="24"/>
          <w:lang w:val="es-AR" w:eastAsia="en-US"/>
        </w:rPr>
        <w:t xml:space="preserve"> </w:t>
      </w:r>
      <w:proofErr w:type="spellStart"/>
      <w:r w:rsidR="002A4E38" w:rsidRPr="003963E4">
        <w:rPr>
          <w:rFonts w:asciiTheme="minorHAnsi" w:eastAsiaTheme="minorHAnsi" w:hAnsiTheme="minorHAnsi" w:cstheme="minorBidi"/>
          <w:b/>
          <w:i/>
          <w:color w:val="auto"/>
          <w:sz w:val="24"/>
          <w:lang w:val="es-AR" w:eastAsia="en-US"/>
        </w:rPr>
        <w:t>On</w:t>
      </w:r>
      <w:proofErr w:type="spellEnd"/>
      <w:r w:rsidR="002A4E38" w:rsidRPr="003963E4">
        <w:rPr>
          <w:rFonts w:asciiTheme="minorHAnsi" w:eastAsiaTheme="minorHAnsi" w:hAnsiTheme="minorHAnsi" w:cstheme="minorBidi"/>
          <w:b/>
          <w:i/>
          <w:color w:val="auto"/>
          <w:sz w:val="24"/>
          <w:lang w:val="es-AR" w:eastAsia="en-US"/>
        </w:rPr>
        <w:t xml:space="preserve"> (SSO)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que permita a un usuario que ingresa a la plataforma VUCE autenticarse mediante CUIT y clave fiscal y poder operar </w:t>
      </w:r>
      <w:r w:rsidR="005711A3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con 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las diferentes plataformas que interactúa, tales como: </w:t>
      </w:r>
      <w:r w:rsidR="00A123BC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TAD/GDE, Servicios AFIP, SIM, etc.</w:t>
      </w:r>
      <w:r w:rsidR="002A4E38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</w:t>
      </w:r>
    </w:p>
    <w:p w14:paraId="49F547AA" w14:textId="77777777" w:rsidR="001378D7" w:rsidRDefault="001378D7" w:rsidP="001378D7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</w:p>
    <w:p w14:paraId="4F2DCEE3" w14:textId="77777777" w:rsidR="005711A3" w:rsidRDefault="001378D7" w:rsidP="001378D7">
      <w:pPr>
        <w:spacing w:after="200"/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</w:pPr>
      <w:r w:rsidRPr="001378D7"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  <w:t>Diagrama de Entorno</w:t>
      </w:r>
    </w:p>
    <w:p w14:paraId="47816F57" w14:textId="20A82E2E" w:rsidR="001378D7" w:rsidRPr="001378D7" w:rsidRDefault="00192D56" w:rsidP="001378D7">
      <w:pPr>
        <w:spacing w:after="200"/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color w:val="auto"/>
          <w:sz w:val="24"/>
          <w:lang w:val="en-US" w:eastAsia="en-US"/>
        </w:rPr>
        <w:drawing>
          <wp:inline distT="0" distB="0" distL="0" distR="0" wp14:anchorId="258AADB8" wp14:editId="6F004C63">
            <wp:extent cx="5730875" cy="4189095"/>
            <wp:effectExtent l="0" t="0" r="3175" b="1905"/>
            <wp:docPr id="2" name="Imagen 2" descr="C:\Users\4\Dropbox\VUCE@Dropbox\ITS\Plataforma VUCE\Desarrollos\Entorno partic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\Dropbox\VUCE@Dropbox\ITS\Plataforma VUCE\Desarrollos\Entorno particul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286" w14:textId="77777777" w:rsidR="001378D7" w:rsidRDefault="001378D7" w:rsidP="001378D7"/>
    <w:p w14:paraId="4E38A90B" w14:textId="77777777" w:rsidR="001378D7" w:rsidRDefault="001378D7" w:rsidP="001378D7"/>
    <w:p w14:paraId="1F59ED93" w14:textId="18A97158" w:rsidR="00C77218" w:rsidRDefault="00C77218" w:rsidP="00C77218">
      <w:pPr>
        <w:pStyle w:val="Prrafodelista"/>
        <w:numPr>
          <w:ilvl w:val="0"/>
          <w:numId w:val="22"/>
        </w:numPr>
      </w:pPr>
      <w:r>
        <w:t>Usuario se autentica a través de PAEC</w:t>
      </w:r>
      <w:r w:rsidR="00E75FE0">
        <w:t>.</w:t>
      </w:r>
    </w:p>
    <w:p w14:paraId="5A4BC5DF" w14:textId="57740324" w:rsidR="00C77218" w:rsidRDefault="00C77218" w:rsidP="00C77218">
      <w:pPr>
        <w:pStyle w:val="Prrafodelista"/>
        <w:numPr>
          <w:ilvl w:val="0"/>
          <w:numId w:val="22"/>
        </w:numPr>
      </w:pPr>
      <w:r>
        <w:t xml:space="preserve">Accede al sistema que requiere sin necesidad de volver </w:t>
      </w:r>
      <w:r w:rsidR="00E75FE0">
        <w:t>a ingresar credenciales.</w:t>
      </w:r>
    </w:p>
    <w:p w14:paraId="0E5FD8E4" w14:textId="77777777" w:rsidR="00C77218" w:rsidRPr="001378D7" w:rsidRDefault="00C77218" w:rsidP="00C77218"/>
    <w:p w14:paraId="470D7B6F" w14:textId="385A3004" w:rsidR="00F32CD7" w:rsidRDefault="00597533" w:rsidP="00597533">
      <w:pPr>
        <w:spacing w:after="200"/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</w:pPr>
      <w:r w:rsidRPr="00597533"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  <w:t>Autenticación</w:t>
      </w:r>
    </w:p>
    <w:p w14:paraId="76F0DA4C" w14:textId="0202548E" w:rsidR="00597533" w:rsidRDefault="00597533" w:rsidP="00597533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597533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La autenticación del portal transaccional VUCE será a 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través </w:t>
      </w:r>
      <w:r w:rsidR="00F5761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de la Plataforma de autenticación PAEC (Portal de autenticación central).</w:t>
      </w:r>
    </w:p>
    <w:p w14:paraId="3C130293" w14:textId="638A2F04" w:rsidR="00D82FD1" w:rsidRDefault="00D82FD1" w:rsidP="00597533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>
        <w:rPr>
          <w:lang w:val="es-AR"/>
        </w:rPr>
        <w:t xml:space="preserve">PAEC </w:t>
      </w:r>
      <w:r>
        <w:t>oficia de intermediario entre una aplicación cliente y los proveedores de identidad (</w:t>
      </w:r>
      <w:r w:rsidR="008C5C84">
        <w:t>AFIP, ANSES, RENAPER</w:t>
      </w:r>
      <w:r>
        <w:t>) elegidos para autenticar la identidad de los usuarios de sus sistemas.</w:t>
      </w:r>
    </w:p>
    <w:p w14:paraId="72E5A3EB" w14:textId="22E4BD09" w:rsidR="007D47D1" w:rsidRDefault="007D47D1" w:rsidP="00597533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lastRenderedPageBreak/>
        <w:t xml:space="preserve">Uno de los </w:t>
      </w:r>
      <w:r w:rsidR="00D82FD1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proveedores de identidad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que posee PAEC es AFIP, por lo tanto, el usuario de la plataforma VUCE se va a autenticar mediante CUIT y clave fiscal. </w:t>
      </w:r>
    </w:p>
    <w:p w14:paraId="25781C42" w14:textId="27840550" w:rsidR="007D47D1" w:rsidRDefault="007D47D1" w:rsidP="00597533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La ventaja de ut</w:t>
      </w:r>
      <w:r w:rsidR="00D82FD1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ilizar PAEC es que permitirá a</w:t>
      </w:r>
      <w:r w:rsidR="00762F55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las</w:t>
      </w:r>
      <w:r w:rsidR="00D82FD1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aplicaciones que se encuentran en el mismo dominio de autenticación comunicarse</w:t>
      </w:r>
      <w:r w:rsidR="00762F55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entre sí</w:t>
      </w:r>
      <w:r w:rsidR="00D82FD1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sin ser necesaria para el usuario la doble autenticación.</w:t>
      </w:r>
      <w:r w:rsidR="00762F55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Esta facilitación responde al requerimiento central de facilitar a los usuarios la realización de todos los trámites desde un único punto de acceso.</w:t>
      </w:r>
    </w:p>
    <w:p w14:paraId="3DD53E55" w14:textId="777C0594" w:rsidR="00D82FD1" w:rsidRDefault="00156704" w:rsidP="00597533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La aplicación </w:t>
      </w:r>
      <w:r w:rsidR="0055063C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“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T</w:t>
      </w:r>
      <w:r w:rsidR="0055063C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rámites a distancia” (TAD)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utiliza PAEC para autenticarse. Dado que VUCE interactuará</w:t>
      </w:r>
      <w:r w:rsidR="0055063C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con TAD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para realizar </w:t>
      </w:r>
      <w:r w:rsidR="0055063C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diversos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</w:t>
      </w:r>
      <w:r w:rsidR="008C5C8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trámites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de COMEX, el usuario podrá navegar entre VUCE</w:t>
      </w:r>
      <w:r w:rsidR="00762F55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, TAD con Single </w:t>
      </w:r>
      <w:proofErr w:type="spellStart"/>
      <w:r w:rsidR="00762F55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Sign</w:t>
      </w:r>
      <w:proofErr w:type="spellEnd"/>
      <w:r w:rsidR="00762F55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</w:t>
      </w:r>
      <w:proofErr w:type="spellStart"/>
      <w:r w:rsidR="00762F55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On</w:t>
      </w:r>
      <w:proofErr w:type="spellEnd"/>
      <w:r w:rsidR="00762F55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(SSO) y el resto de los sistemas de los organismos intervinientes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sin ser necesaria la doble autenticación.</w:t>
      </w:r>
    </w:p>
    <w:p w14:paraId="6C63E15B" w14:textId="77777777" w:rsidR="00156704" w:rsidRPr="001378D7" w:rsidRDefault="00156704" w:rsidP="00156704"/>
    <w:p w14:paraId="4EC95685" w14:textId="0FF5CCB5" w:rsidR="00156704" w:rsidRDefault="00156704" w:rsidP="00156704">
      <w:pPr>
        <w:spacing w:after="200"/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</w:pPr>
      <w:r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  <w:t>servicios afip</w:t>
      </w:r>
    </w:p>
    <w:p w14:paraId="2B334DCA" w14:textId="0B4AE39B" w:rsidR="00156704" w:rsidRPr="0055063C" w:rsidRDefault="0063570E" w:rsidP="00156704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Actualmente, hay varios </w:t>
      </w:r>
      <w:r w:rsidRPr="0063570E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servicios relacionados con comercio exterior que se encuentran en la página de AFIP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. El listado de servicios es:</w:t>
      </w:r>
    </w:p>
    <w:p w14:paraId="41751991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Ratificación de Autoría de la declaración</w:t>
      </w:r>
    </w:p>
    <w:p w14:paraId="4462B8E0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Solicitar servicios extraordinarios aduaneros- SASE</w:t>
      </w:r>
    </w:p>
    <w:p w14:paraId="1A5B441E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Comprobantes en Línea (Factura – E)  </w:t>
      </w:r>
    </w:p>
    <w:p w14:paraId="3A50E51A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Sistema Informático de Trámites Aduaneros (SITA)</w:t>
      </w:r>
    </w:p>
    <w:p w14:paraId="4C71E4BF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SIG – Embalajes</w:t>
      </w:r>
    </w:p>
    <w:p w14:paraId="4861461B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SETI aduana</w:t>
      </w:r>
    </w:p>
    <w:p w14:paraId="56CB6807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SETI Aduana Nivel 4</w:t>
      </w:r>
    </w:p>
    <w:p w14:paraId="5462B5CD" w14:textId="3D9A994C" w:rsidR="00156704" w:rsidRPr="00156704" w:rsidRDefault="0063570E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SC – Solicitud de Contacto  (envío</w:t>
      </w:r>
      <w:r w:rsidR="00156704"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de Anexo a las </w:t>
      </w:r>
      <w:proofErr w:type="spellStart"/>
      <w:r w:rsidR="00156704"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SIMIs</w:t>
      </w:r>
      <w:proofErr w:type="spellEnd"/>
      <w:r w:rsidR="00156704"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, </w:t>
      </w:r>
      <w:proofErr w:type="spellStart"/>
      <w:r w:rsidR="00156704"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Lic</w:t>
      </w:r>
      <w:proofErr w:type="spellEnd"/>
      <w:r w:rsidR="00156704"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No </w:t>
      </w: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Automáticas</w:t>
      </w:r>
      <w:r w:rsidR="00156704"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)</w:t>
      </w:r>
    </w:p>
    <w:p w14:paraId="69E54A78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SICNEA- Gestión de Comunicación y notificación aduanera</w:t>
      </w:r>
    </w:p>
    <w:p w14:paraId="1C66C4FF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MOA – Mis Operaciones Aduaneras</w:t>
      </w:r>
    </w:p>
    <w:p w14:paraId="2DA03797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Presentación de DDJJ y Pagos</w:t>
      </w:r>
    </w:p>
    <w:p w14:paraId="7681643C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Gestión  IMEX</w:t>
      </w:r>
    </w:p>
    <w:p w14:paraId="5CEF3D78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Gestión Despachante</w:t>
      </w:r>
    </w:p>
    <w:p w14:paraId="6115FF2E" w14:textId="77777777" w:rsidR="00156704" w:rsidRPr="00156704" w:rsidRDefault="00156704" w:rsidP="00156704">
      <w:pPr>
        <w:numPr>
          <w:ilvl w:val="0"/>
          <w:numId w:val="16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CERT- POV -  certificados para exportación de origen vegetal (</w:t>
      </w:r>
      <w:proofErr w:type="spellStart"/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senasa</w:t>
      </w:r>
      <w:proofErr w:type="spellEnd"/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)</w:t>
      </w:r>
    </w:p>
    <w:p w14:paraId="23EB78B4" w14:textId="77777777" w:rsidR="00156704" w:rsidRPr="00156704" w:rsidRDefault="00156704" w:rsidP="00156704">
      <w:pPr>
        <w:pStyle w:val="Prrafodelista"/>
        <w:numPr>
          <w:ilvl w:val="0"/>
          <w:numId w:val="16"/>
        </w:numPr>
        <w:spacing w:line="240" w:lineRule="auto"/>
        <w:contextualSpacing w:val="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 Factura electrónica de exportación - Cierre de Permiso de exportación </w:t>
      </w:r>
    </w:p>
    <w:p w14:paraId="1B8267EF" w14:textId="77777777" w:rsidR="00156704" w:rsidRPr="00156704" w:rsidRDefault="00156704" w:rsidP="00156704">
      <w:pPr>
        <w:pStyle w:val="Prrafodelista"/>
        <w:numPr>
          <w:ilvl w:val="0"/>
          <w:numId w:val="16"/>
        </w:numPr>
        <w:spacing w:line="240" w:lineRule="auto"/>
        <w:contextualSpacing w:val="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Cierre de factura electrónica de exportación -  cierre factura de exportación</w:t>
      </w:r>
    </w:p>
    <w:p w14:paraId="74DA0DCB" w14:textId="77777777" w:rsidR="00156704" w:rsidRPr="00156704" w:rsidRDefault="00156704" w:rsidP="00156704">
      <w:pPr>
        <w:pStyle w:val="Prrafodelista"/>
        <w:numPr>
          <w:ilvl w:val="0"/>
          <w:numId w:val="16"/>
        </w:numPr>
        <w:spacing w:line="240" w:lineRule="auto"/>
        <w:contextualSpacing w:val="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Exporta Simple</w:t>
      </w:r>
    </w:p>
    <w:p w14:paraId="6C501A02" w14:textId="77777777" w:rsidR="00156704" w:rsidRPr="00156704" w:rsidRDefault="00156704" w:rsidP="00156704">
      <w:pPr>
        <w:pStyle w:val="Prrafodelista"/>
        <w:numPr>
          <w:ilvl w:val="0"/>
          <w:numId w:val="16"/>
        </w:numPr>
        <w:spacing w:line="240" w:lineRule="auto"/>
        <w:contextualSpacing w:val="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Resolución General # 3962-  Solicitud de Disposición de Créditos Aduaneros</w:t>
      </w:r>
    </w:p>
    <w:p w14:paraId="5802A2E8" w14:textId="77777777" w:rsidR="00156704" w:rsidRPr="00156704" w:rsidRDefault="00156704" w:rsidP="00156704">
      <w:pPr>
        <w:pStyle w:val="Prrafodelista"/>
        <w:numPr>
          <w:ilvl w:val="0"/>
          <w:numId w:val="16"/>
        </w:numPr>
        <w:spacing w:line="240" w:lineRule="auto"/>
        <w:contextualSpacing w:val="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Oficialización del Formulario valor</w:t>
      </w:r>
    </w:p>
    <w:p w14:paraId="78307293" w14:textId="77777777" w:rsidR="00156704" w:rsidRPr="00156704" w:rsidRDefault="00156704" w:rsidP="00156704">
      <w:pPr>
        <w:pStyle w:val="Prrafodelista"/>
        <w:numPr>
          <w:ilvl w:val="0"/>
          <w:numId w:val="16"/>
        </w:numPr>
        <w:spacing w:line="240" w:lineRule="auto"/>
        <w:contextualSpacing w:val="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Registración Formulario valor</w:t>
      </w:r>
    </w:p>
    <w:p w14:paraId="75A85880" w14:textId="77777777" w:rsidR="00156704" w:rsidRPr="00156704" w:rsidRDefault="00156704" w:rsidP="00156704">
      <w:pPr>
        <w:pStyle w:val="Prrafodelista"/>
        <w:numPr>
          <w:ilvl w:val="0"/>
          <w:numId w:val="16"/>
        </w:numPr>
        <w:spacing w:line="240" w:lineRule="auto"/>
        <w:contextualSpacing w:val="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Sistema Registral </w:t>
      </w:r>
    </w:p>
    <w:p w14:paraId="5658244E" w14:textId="77777777" w:rsidR="00156704" w:rsidRPr="00156704" w:rsidRDefault="00156704" w:rsidP="00156704">
      <w:pPr>
        <w:pStyle w:val="Prrafodelista"/>
        <w:numPr>
          <w:ilvl w:val="0"/>
          <w:numId w:val="16"/>
        </w:numPr>
        <w:spacing w:line="240" w:lineRule="auto"/>
        <w:contextualSpacing w:val="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Simi- Gestión de la Declaración</w:t>
      </w:r>
    </w:p>
    <w:p w14:paraId="0E759D47" w14:textId="77777777" w:rsidR="00156704" w:rsidRPr="00156704" w:rsidRDefault="00156704" w:rsidP="00156704">
      <w:pPr>
        <w:pStyle w:val="Prrafodelista"/>
        <w:numPr>
          <w:ilvl w:val="0"/>
          <w:numId w:val="16"/>
        </w:numPr>
        <w:spacing w:line="240" w:lineRule="auto"/>
        <w:contextualSpacing w:val="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Tramites a Distancia</w:t>
      </w:r>
    </w:p>
    <w:p w14:paraId="511F7792" w14:textId="77777777" w:rsidR="00156704" w:rsidRPr="00156704" w:rsidRDefault="00156704" w:rsidP="00156704">
      <w:pPr>
        <w:pStyle w:val="Prrafodelista"/>
        <w:numPr>
          <w:ilvl w:val="0"/>
          <w:numId w:val="16"/>
        </w:numPr>
        <w:spacing w:line="240" w:lineRule="auto"/>
        <w:contextualSpacing w:val="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Gestión de Autorizaciones Electrónicas</w:t>
      </w:r>
    </w:p>
    <w:p w14:paraId="3F3B0085" w14:textId="77777777" w:rsidR="00156704" w:rsidRPr="00156704" w:rsidRDefault="00156704" w:rsidP="00156704">
      <w:pPr>
        <w:pStyle w:val="Prrafodelista"/>
        <w:numPr>
          <w:ilvl w:val="0"/>
          <w:numId w:val="16"/>
        </w:numPr>
        <w:spacing w:line="240" w:lineRule="auto"/>
        <w:contextualSpacing w:val="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Aceptación de  Autorizaciones electrónicas</w:t>
      </w:r>
    </w:p>
    <w:p w14:paraId="558FB80B" w14:textId="77777777" w:rsidR="00156704" w:rsidRPr="00156704" w:rsidRDefault="00156704" w:rsidP="00156704">
      <w:pPr>
        <w:pStyle w:val="Prrafodelista"/>
        <w:numPr>
          <w:ilvl w:val="0"/>
          <w:numId w:val="16"/>
        </w:numPr>
        <w:spacing w:line="240" w:lineRule="auto"/>
        <w:contextualSpacing w:val="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15670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SETI- Certificado de Origen digital COD</w:t>
      </w:r>
    </w:p>
    <w:p w14:paraId="700F2470" w14:textId="77777777" w:rsidR="00156704" w:rsidRDefault="00156704" w:rsidP="00156704">
      <w:pPr>
        <w:spacing w:after="200"/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</w:pPr>
    </w:p>
    <w:p w14:paraId="6EF7CDF3" w14:textId="345C3706" w:rsidR="0063570E" w:rsidRDefault="00EF5967" w:rsidP="00156704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lastRenderedPageBreak/>
        <w:t xml:space="preserve">En alguna instancia de una operación </w:t>
      </w:r>
      <w:r w:rsidR="0064093E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COMEX en alguna parte del proceso el usuario deberá </w:t>
      </w:r>
      <w:bookmarkStart w:id="0" w:name="_GoBack"/>
      <w:r w:rsidR="0064093E" w:rsidRPr="00995398">
        <w:rPr>
          <w:rFonts w:asciiTheme="minorHAnsi" w:eastAsiaTheme="minorHAnsi" w:hAnsiTheme="minorHAnsi" w:cstheme="minorBidi"/>
          <w:color w:val="auto"/>
          <w:sz w:val="24"/>
          <w:lang w:eastAsia="en-US"/>
        </w:rPr>
        <w:t>ingresar a alguno de</w:t>
      </w:r>
      <w:r w:rsidRPr="00995398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estos</w:t>
      </w:r>
      <w:r w:rsidR="0064093E" w:rsidRPr="00995398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servicios para continuar con el proceso. </w:t>
      </w:r>
      <w:r w:rsidR="00926F36" w:rsidRPr="00995398">
        <w:rPr>
          <w:rFonts w:asciiTheme="minorHAnsi" w:eastAsiaTheme="minorHAnsi" w:hAnsiTheme="minorHAnsi" w:cstheme="minorBidi"/>
          <w:color w:val="auto"/>
          <w:sz w:val="24"/>
          <w:lang w:eastAsia="en-US"/>
        </w:rPr>
        <w:t>Cuando el usuario requiere ingresar a alguno</w:t>
      </w:r>
      <w:r w:rsidR="00926F36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</w:t>
      </w:r>
      <w:bookmarkEnd w:id="0"/>
      <w:r w:rsidR="00926F36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de estos servicios, lo deberá poder hacer sin necesidad de una nueva autenticación.</w:t>
      </w:r>
    </w:p>
    <w:p w14:paraId="4F2420FA" w14:textId="0C788CA2" w:rsidR="006D60C1" w:rsidRDefault="00EF5967" w:rsidP="00156704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Un acceso </w:t>
      </w:r>
      <w:r w:rsidR="00AD11A8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entre VUCE y los servicios de AFIP</w:t>
      </w:r>
      <w:r w:rsidR="00E7325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generará mayor transparencia entre las operaciones de los diferentes sistemas, evitando las interrupciones y </w:t>
      </w:r>
      <w:r w:rsidR="00926F36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reingreso de usuario y clave</w:t>
      </w:r>
      <w:r w:rsidR="003A08A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.</w:t>
      </w:r>
    </w:p>
    <w:p w14:paraId="4A596301" w14:textId="5BBF110A" w:rsidR="003A08A4" w:rsidRDefault="003A08A4" w:rsidP="00156704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Para realizar</w:t>
      </w:r>
      <w:r w:rsidR="00EF5967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esta implementación en la plataforma VUCE se requiere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: </w:t>
      </w:r>
    </w:p>
    <w:p w14:paraId="70598E4C" w14:textId="40ED510C" w:rsidR="003A08A4" w:rsidRPr="003A08A4" w:rsidRDefault="003A08A4" w:rsidP="003A08A4">
      <w:pPr>
        <w:pStyle w:val="Prrafodelista"/>
        <w:numPr>
          <w:ilvl w:val="0"/>
          <w:numId w:val="17"/>
        </w:numPr>
        <w:spacing w:after="200"/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</w:pP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Listado</w:t>
      </w:r>
      <w:r w:rsidRPr="003A08A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de servicios habilitados que posee el </w:t>
      </w:r>
      <w:r w:rsidR="00AD5FAE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CUIT </w:t>
      </w:r>
    </w:p>
    <w:p w14:paraId="19C7AE6C" w14:textId="62FE2DE7" w:rsidR="003A08A4" w:rsidRPr="003A08A4" w:rsidRDefault="003A08A4" w:rsidP="003A08A4">
      <w:pPr>
        <w:pStyle w:val="Prrafodelista"/>
        <w:numPr>
          <w:ilvl w:val="0"/>
          <w:numId w:val="17"/>
        </w:numPr>
        <w:spacing w:after="200"/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</w:pP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L</w:t>
      </w:r>
      <w:r w:rsidRPr="003A08A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inks de acceso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 a los servicios de AFIP</w:t>
      </w:r>
    </w:p>
    <w:p w14:paraId="6C3E4C13" w14:textId="1DBDA1CB" w:rsidR="00156704" w:rsidRPr="007540EB" w:rsidRDefault="003A08A4" w:rsidP="00597533">
      <w:pPr>
        <w:pStyle w:val="Prrafodelista"/>
        <w:numPr>
          <w:ilvl w:val="0"/>
          <w:numId w:val="17"/>
        </w:num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7540EB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Mecanismo de renovación del </w:t>
      </w:r>
      <w:proofErr w:type="spellStart"/>
      <w:r w:rsidRPr="007540EB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Token</w:t>
      </w:r>
      <w:proofErr w:type="spellEnd"/>
      <w:r w:rsidRPr="007540EB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para que AFIP reconozca como válido y </w:t>
      </w:r>
      <w:r w:rsidR="006D60C1" w:rsidRPr="007540EB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no vencido el </w:t>
      </w:r>
      <w:proofErr w:type="spellStart"/>
      <w:r w:rsidR="006D60C1" w:rsidRPr="007540EB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token</w:t>
      </w:r>
      <w:proofErr w:type="spellEnd"/>
      <w:r w:rsidR="006D60C1" w:rsidRPr="007540EB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del primer inicio de sesión.</w:t>
      </w:r>
    </w:p>
    <w:p w14:paraId="2CF96692" w14:textId="77777777" w:rsidR="00156704" w:rsidRDefault="00156704" w:rsidP="00597533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</w:p>
    <w:p w14:paraId="38C50C02" w14:textId="357736FF" w:rsidR="00D82FD1" w:rsidRDefault="00D82FD1" w:rsidP="00597533">
      <w:pPr>
        <w:spacing w:after="200"/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</w:pPr>
      <w:r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  <w:t>Gestió</w:t>
      </w:r>
      <w:r w:rsidRPr="00D82FD1"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  <w:t>n de Autorizaciones</w:t>
      </w:r>
    </w:p>
    <w:p w14:paraId="5F50396A" w14:textId="1010394C" w:rsidR="00AD11A8" w:rsidRDefault="00430A20" w:rsidP="00597533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 w:rsidRPr="00430A20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AFIP disponibilizó, tanto para VUCE como para empresas, 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un conjunto de Web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Services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para interactuar con el SIM (Sistema Informático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Malvina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):</w:t>
      </w:r>
    </w:p>
    <w:p w14:paraId="60FDD9AA" w14:textId="66A8C380" w:rsidR="006A13A2" w:rsidRPr="003F0AD5" w:rsidRDefault="00B20829" w:rsidP="003F0AD5">
      <w:pPr>
        <w:pStyle w:val="Prrafodelista"/>
        <w:numPr>
          <w:ilvl w:val="0"/>
          <w:numId w:val="18"/>
        </w:numPr>
        <w:spacing w:after="200"/>
        <w:ind w:hanging="294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proofErr w:type="spellStart"/>
      <w:r w:rsidRPr="003F0AD5">
        <w:t>wgestatref</w:t>
      </w:r>
      <w:proofErr w:type="spellEnd"/>
    </w:p>
    <w:p w14:paraId="4442103C" w14:textId="07E7729A" w:rsidR="003F0AD5" w:rsidRPr="003F0AD5" w:rsidRDefault="00B20829" w:rsidP="003F0AD5">
      <w:pPr>
        <w:pStyle w:val="Prrafodelista"/>
        <w:numPr>
          <w:ilvl w:val="0"/>
          <w:numId w:val="18"/>
        </w:numPr>
        <w:spacing w:after="200"/>
        <w:ind w:hanging="294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proofErr w:type="spellStart"/>
      <w:r w:rsidRPr="003F0AD5">
        <w:t>wconsparam</w:t>
      </w:r>
      <w:proofErr w:type="spellEnd"/>
    </w:p>
    <w:p w14:paraId="7C459A0D" w14:textId="0CDE4090" w:rsidR="003F0AD5" w:rsidRPr="003F0AD5" w:rsidRDefault="00B20829" w:rsidP="003F0AD5">
      <w:pPr>
        <w:pStyle w:val="Prrafodelista"/>
        <w:numPr>
          <w:ilvl w:val="0"/>
          <w:numId w:val="18"/>
        </w:numPr>
        <w:spacing w:after="200"/>
        <w:ind w:hanging="294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proofErr w:type="spellStart"/>
      <w:r w:rsidRPr="003F0AD5">
        <w:t>wgesdeclaracion</w:t>
      </w:r>
      <w:proofErr w:type="spellEnd"/>
    </w:p>
    <w:p w14:paraId="2DBA7F0B" w14:textId="656B4D71" w:rsidR="003F0AD5" w:rsidRPr="003F0AD5" w:rsidRDefault="00B20829" w:rsidP="003F0AD5">
      <w:pPr>
        <w:pStyle w:val="Prrafodelista"/>
        <w:numPr>
          <w:ilvl w:val="0"/>
          <w:numId w:val="18"/>
        </w:numPr>
        <w:spacing w:after="200"/>
        <w:ind w:hanging="294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proofErr w:type="spellStart"/>
      <w:r w:rsidRPr="003F0AD5">
        <w:t>wgespagosliq</w:t>
      </w:r>
      <w:proofErr w:type="spellEnd"/>
    </w:p>
    <w:p w14:paraId="0228C58C" w14:textId="5F7A72D7" w:rsidR="003F0AD5" w:rsidRPr="003F0AD5" w:rsidRDefault="00B20829" w:rsidP="003F0AD5">
      <w:pPr>
        <w:pStyle w:val="Prrafodelista"/>
        <w:numPr>
          <w:ilvl w:val="0"/>
          <w:numId w:val="18"/>
        </w:numPr>
        <w:spacing w:after="200"/>
        <w:ind w:hanging="294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proofErr w:type="spellStart"/>
      <w:r w:rsidRPr="003F0AD5">
        <w:t>whelperdeclaracion</w:t>
      </w:r>
      <w:proofErr w:type="spellEnd"/>
    </w:p>
    <w:p w14:paraId="4C9E5606" w14:textId="18A2AAB9" w:rsidR="003F0AD5" w:rsidRPr="00A138A1" w:rsidRDefault="00B20829" w:rsidP="003F0AD5">
      <w:pPr>
        <w:pStyle w:val="Prrafodelista"/>
        <w:numPr>
          <w:ilvl w:val="0"/>
          <w:numId w:val="18"/>
        </w:numPr>
        <w:spacing w:after="200"/>
        <w:ind w:hanging="294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proofErr w:type="spellStart"/>
      <w:r w:rsidRPr="003F0AD5">
        <w:rPr>
          <w:bCs/>
          <w:sz w:val="21"/>
          <w:szCs w:val="21"/>
          <w:shd w:val="clear" w:color="auto" w:fill="FFFFFF"/>
        </w:rPr>
        <w:t>wconsdocrequeridos</w:t>
      </w:r>
      <w:proofErr w:type="spellEnd"/>
    </w:p>
    <w:p w14:paraId="3DACA30E" w14:textId="0062C0F7" w:rsidR="00A138A1" w:rsidRPr="003F0AD5" w:rsidRDefault="00A138A1" w:rsidP="000060BF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proofErr w:type="gramStart"/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y</w:t>
      </w:r>
      <w:proofErr w:type="gramEnd"/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</w:t>
      </w:r>
      <w:r w:rsidR="000060BF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de consultas de  “</w:t>
      </w:r>
      <w:r w:rsidR="000060BF">
        <w:t>M</w:t>
      </w:r>
      <w:r>
        <w:t>is</w:t>
      </w:r>
      <w:r w:rsidR="000060BF">
        <w:t xml:space="preserve"> </w:t>
      </w:r>
      <w:r>
        <w:t>Operaciones</w:t>
      </w:r>
      <w:r w:rsidR="000060BF">
        <w:t xml:space="preserve"> </w:t>
      </w:r>
      <w:r>
        <w:t>Aduaneras</w:t>
      </w:r>
      <w:r w:rsidR="000060BF">
        <w:t>” (MOA)</w:t>
      </w:r>
    </w:p>
    <w:p w14:paraId="22F837F0" w14:textId="1EB3FC94" w:rsidR="00A138A1" w:rsidRPr="003F0AD5" w:rsidRDefault="00A138A1" w:rsidP="00A138A1">
      <w:pPr>
        <w:pStyle w:val="Prrafodelista"/>
        <w:numPr>
          <w:ilvl w:val="0"/>
          <w:numId w:val="18"/>
        </w:numPr>
        <w:spacing w:after="200"/>
        <w:ind w:hanging="294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proofErr w:type="spellStart"/>
      <w:r>
        <w:t>wconsdeclaracion</w:t>
      </w:r>
      <w:proofErr w:type="spellEnd"/>
    </w:p>
    <w:p w14:paraId="764EBA8A" w14:textId="38676934" w:rsidR="00A138A1" w:rsidRPr="00A138A1" w:rsidRDefault="00A138A1" w:rsidP="00A138A1">
      <w:pPr>
        <w:pStyle w:val="Prrafodelista"/>
        <w:numPr>
          <w:ilvl w:val="0"/>
          <w:numId w:val="18"/>
        </w:numPr>
        <w:spacing w:after="200"/>
        <w:ind w:hanging="294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proofErr w:type="spellStart"/>
      <w:r>
        <w:t>wconsrecaudacion</w:t>
      </w:r>
      <w:proofErr w:type="spellEnd"/>
    </w:p>
    <w:p w14:paraId="517263F3" w14:textId="2BA007EB" w:rsidR="009414B3" w:rsidRDefault="009414B3" w:rsidP="00E73254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En el mecanismo de autorización de los Web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service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de Aduana, la misma reconoce a VUCE como entidad autorizada para realizar operaciones en nombre de los usuarios, sin la necesidad de incluir las delegaciones en el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token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.</w:t>
      </w:r>
    </w:p>
    <w:p w14:paraId="1D428C14" w14:textId="63C410EC" w:rsidR="00E73254" w:rsidRDefault="009414B3" w:rsidP="00E73254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Además</w:t>
      </w:r>
      <w:r w:rsidR="00BF2EB6" w:rsidRPr="00E7325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, </w:t>
      </w:r>
      <w:r w:rsidR="003179F1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la dupla usuario-representado que operaría</w:t>
      </w:r>
      <w:r w:rsidR="00BF2EB6" w:rsidRPr="00E7325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la VUCE</w:t>
      </w:r>
      <w:r w:rsidR="00BF2EB6" w:rsidRPr="00E7325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debe tener el rol o el permiso declarado en “Autorizaciones Electrónicas” de AFIP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para posibilitar la </w:t>
      </w:r>
      <w:r w:rsidR="00E7325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utilización de los </w:t>
      </w:r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Web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services</w:t>
      </w:r>
      <w:proofErr w:type="spellEnd"/>
      <w:r w:rsidR="00E7325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>.</w:t>
      </w:r>
    </w:p>
    <w:p w14:paraId="5DC07846" w14:textId="57B8E916" w:rsidR="00EB0837" w:rsidRDefault="009F35CF" w:rsidP="00E73254">
      <w:pPr>
        <w:spacing w:after="200"/>
        <w:rPr>
          <w:rFonts w:asciiTheme="minorHAnsi" w:eastAsiaTheme="minorHAnsi" w:hAnsiTheme="minorHAnsi" w:cstheme="minorBidi"/>
          <w:color w:val="auto"/>
          <w:sz w:val="24"/>
          <w:lang w:eastAsia="en-US"/>
        </w:rPr>
      </w:pPr>
      <w:r w:rsidRPr="00E7325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lastRenderedPageBreak/>
        <w:t xml:space="preserve">Las </w:t>
      </w:r>
      <w:r w:rsidRPr="00E73254">
        <w:rPr>
          <w:rFonts w:asciiTheme="minorHAnsi" w:eastAsiaTheme="minorHAnsi" w:hAnsiTheme="minorHAnsi" w:cstheme="minorBidi"/>
          <w:b/>
          <w:i/>
          <w:color w:val="auto"/>
          <w:sz w:val="24"/>
          <w:lang w:val="es-AR" w:eastAsia="en-US"/>
        </w:rPr>
        <w:t>autorizaciones electrónicas</w:t>
      </w:r>
      <w:r w:rsidRPr="00E73254"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  <w:t xml:space="preserve"> </w:t>
      </w:r>
      <w:r w:rsidR="00BF2EB6" w:rsidRPr="00E73254">
        <w:rPr>
          <w:rFonts w:asciiTheme="minorHAnsi" w:eastAsiaTheme="minorHAnsi" w:hAnsiTheme="minorHAnsi" w:cstheme="minorBidi"/>
          <w:color w:val="auto"/>
          <w:sz w:val="24"/>
          <w:lang w:eastAsia="en-US"/>
        </w:rPr>
        <w:t>es un servicio de AFIP para formalizar electrónicamente los actos de otorgamiento, aceptación y revocación de autorizaciones, generales o especiales, ante el servicio aduanero y para acreditar la representación de los autorizados.</w:t>
      </w:r>
    </w:p>
    <w:p w14:paraId="27B6D501" w14:textId="6FECACF5" w:rsidR="005A7588" w:rsidRDefault="005A7588" w:rsidP="00E73254">
      <w:pPr>
        <w:spacing w:after="200"/>
        <w:rPr>
          <w:rFonts w:asciiTheme="minorHAnsi" w:eastAsiaTheme="minorHAnsi" w:hAnsiTheme="minorHAnsi" w:cstheme="minorBidi"/>
          <w:color w:val="auto"/>
          <w:sz w:val="24"/>
          <w:lang w:eastAsia="en-US"/>
        </w:rPr>
      </w:pPr>
      <w:r>
        <w:rPr>
          <w:rFonts w:asciiTheme="minorHAnsi" w:eastAsiaTheme="minorHAnsi" w:hAnsiTheme="minorHAnsi" w:cstheme="minorBidi"/>
          <w:noProof/>
          <w:color w:val="auto"/>
          <w:sz w:val="24"/>
          <w:lang w:val="en-US" w:eastAsia="en-US"/>
        </w:rPr>
        <w:drawing>
          <wp:inline distT="0" distB="0" distL="0" distR="0" wp14:anchorId="65B4371A" wp14:editId="21D88C47">
            <wp:extent cx="5784112" cy="1787269"/>
            <wp:effectExtent l="0" t="0" r="762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orno-autorizaciones-electronic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47" cy="17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2892" w14:textId="7D146D61" w:rsidR="003A7347" w:rsidRDefault="00751C00" w:rsidP="00E73254">
      <w:pPr>
        <w:spacing w:after="200"/>
        <w:rPr>
          <w:rFonts w:asciiTheme="minorHAnsi" w:eastAsiaTheme="minorHAnsi" w:hAnsiTheme="minorHAnsi" w:cstheme="minorBidi"/>
          <w:color w:val="auto"/>
          <w:sz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>Para</w:t>
      </w:r>
      <w:r w:rsidR="00C62AB7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la operación en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VUCE, e</w:t>
      </w:r>
      <w:r w:rsidR="00AD5FAE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s necesario tener disponible 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>las autorizaciones que posee cada uno de los usuarios</w:t>
      </w:r>
      <w:r w:rsidR="009834AD">
        <w:rPr>
          <w:rFonts w:asciiTheme="minorHAnsi" w:eastAsiaTheme="minorHAnsi" w:hAnsiTheme="minorHAnsi" w:cstheme="minorBidi"/>
          <w:color w:val="auto"/>
          <w:sz w:val="24"/>
          <w:lang w:eastAsia="en-US"/>
        </w:rPr>
        <w:t>,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</w:t>
      </w:r>
      <w:r w:rsidR="006F4D62">
        <w:rPr>
          <w:rFonts w:asciiTheme="minorHAnsi" w:eastAsiaTheme="minorHAnsi" w:hAnsiTheme="minorHAnsi" w:cstheme="minorBidi"/>
          <w:color w:val="auto"/>
          <w:sz w:val="24"/>
          <w:lang w:eastAsia="en-US"/>
        </w:rPr>
        <w:t>para</w:t>
      </w:r>
      <w:r w:rsidRPr="006F4D62">
        <w:rPr>
          <w:rFonts w:asciiTheme="minorHAnsi" w:eastAsiaTheme="minorHAnsi" w:hAnsiTheme="minorHAnsi" w:cstheme="minorBidi"/>
          <w:color w:val="538135" w:themeColor="accent6" w:themeShade="BF"/>
          <w:sz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>cada</w:t>
      </w:r>
      <w:r w:rsidR="003A7347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web </w:t>
      </w:r>
      <w:proofErr w:type="spellStart"/>
      <w:r w:rsidR="003A7347">
        <w:rPr>
          <w:rFonts w:asciiTheme="minorHAnsi" w:eastAsiaTheme="minorHAnsi" w:hAnsiTheme="minorHAnsi" w:cstheme="minorBidi"/>
          <w:color w:val="auto"/>
          <w:sz w:val="24"/>
          <w:lang w:eastAsia="en-US"/>
        </w:rPr>
        <w:t>service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</w:t>
      </w:r>
      <w:r w:rsidR="00C62AB7">
        <w:rPr>
          <w:rFonts w:asciiTheme="minorHAnsi" w:eastAsiaTheme="minorHAnsi" w:hAnsiTheme="minorHAnsi" w:cstheme="minorBidi"/>
          <w:color w:val="auto"/>
          <w:sz w:val="24"/>
          <w:lang w:eastAsia="en-US"/>
        </w:rPr>
        <w:t>con el fin de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habilitar o deshabilitar la utilización del mismo</w:t>
      </w:r>
      <w:r w:rsidR="009834AD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durante la navegación del portal VUCE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, de acuerdo a los permisos </w:t>
      </w:r>
      <w:r w:rsidR="00FF1A56">
        <w:rPr>
          <w:rFonts w:asciiTheme="minorHAnsi" w:eastAsiaTheme="minorHAnsi" w:hAnsiTheme="minorHAnsi" w:cstheme="minorBidi"/>
          <w:color w:val="auto"/>
          <w:sz w:val="24"/>
          <w:lang w:eastAsia="en-US"/>
        </w:rPr>
        <w:t>registrados en AFIP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>.</w:t>
      </w:r>
      <w:r w:rsidR="003A7347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De esta forma, VUCE valida y se asegura la legitimidad de la operación.</w:t>
      </w:r>
    </w:p>
    <w:p w14:paraId="5864AA44" w14:textId="2852E123" w:rsidR="00FD26DF" w:rsidRPr="00E73254" w:rsidRDefault="00FD26DF" w:rsidP="00E73254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La </w:t>
      </w:r>
      <w:r w:rsidR="006F4D62">
        <w:rPr>
          <w:rFonts w:asciiTheme="minorHAnsi" w:eastAsiaTheme="minorHAnsi" w:hAnsiTheme="minorHAnsi" w:cstheme="minorBidi"/>
          <w:color w:val="auto"/>
          <w:sz w:val="24"/>
          <w:lang w:eastAsia="en-US"/>
        </w:rPr>
        <w:t>siguiente tabla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muestra algunos ejemplos de </w:t>
      </w:r>
      <w:r w:rsidR="009834AD">
        <w:rPr>
          <w:rFonts w:asciiTheme="minorHAnsi" w:eastAsiaTheme="minorHAnsi" w:hAnsiTheme="minorHAnsi" w:cstheme="minorBidi"/>
          <w:color w:val="auto"/>
          <w:sz w:val="24"/>
          <w:lang w:eastAsia="en-US"/>
        </w:rPr>
        <w:t>autorizaciones electrónicas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que se pueden habilitar</w:t>
      </w:r>
      <w:r w:rsidR="006F4D62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a una CUIL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desde el gestor de autorizaciones de AFIP </w:t>
      </w:r>
      <w:r w:rsidR="006F4D62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en las filas 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y </w:t>
      </w:r>
      <w:r w:rsidR="001F0E4D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los WS que </w:t>
      </w:r>
      <w:r w:rsidR="006F4D62">
        <w:rPr>
          <w:rFonts w:asciiTheme="minorHAnsi" w:eastAsiaTheme="minorHAnsi" w:hAnsiTheme="minorHAnsi" w:cstheme="minorBidi"/>
          <w:color w:val="auto"/>
          <w:sz w:val="24"/>
          <w:lang w:eastAsia="en-US"/>
        </w:rPr>
        <w:t>permite acceder</w:t>
      </w:r>
      <w:r w:rsidR="001F0E4D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>AFIP</w:t>
      </w:r>
      <w:r w:rsidR="006F4D62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</w:t>
      </w:r>
      <w:r w:rsidR="001F0E4D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para interactuar con el SIM</w:t>
      </w:r>
      <w:r w:rsidR="006F4D62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en las columnas</w:t>
      </w:r>
      <w:r>
        <w:rPr>
          <w:rFonts w:asciiTheme="minorHAnsi" w:eastAsiaTheme="minorHAnsi" w:hAnsiTheme="minorHAnsi" w:cstheme="minorBidi"/>
          <w:color w:val="auto"/>
          <w:sz w:val="24"/>
          <w:lang w:eastAsia="en-US"/>
        </w:rPr>
        <w:t>. VUCE requerirá que por cada WS</w:t>
      </w:r>
      <w:r w:rsidR="001F0E4D">
        <w:rPr>
          <w:rFonts w:asciiTheme="minorHAnsi" w:eastAsiaTheme="minorHAnsi" w:hAnsiTheme="minorHAnsi" w:cstheme="minorBidi"/>
          <w:color w:val="auto"/>
          <w:sz w:val="24"/>
          <w:lang w:eastAsia="en-US"/>
        </w:rPr>
        <w:t xml:space="preserve"> se defina un permiso de uso de acuerdo a la autorización que posee cada usuario</w:t>
      </w:r>
    </w:p>
    <w:tbl>
      <w:tblPr>
        <w:tblStyle w:val="Tablaconcuadrcula"/>
        <w:tblW w:w="9242" w:type="dxa"/>
        <w:tblLook w:val="04A0" w:firstRow="1" w:lastRow="0" w:firstColumn="1" w:lastColumn="0" w:noHBand="0" w:noVBand="1"/>
      </w:tblPr>
      <w:tblGrid>
        <w:gridCol w:w="4204"/>
        <w:gridCol w:w="719"/>
        <w:gridCol w:w="719"/>
        <w:gridCol w:w="720"/>
        <w:gridCol w:w="720"/>
        <w:gridCol w:w="720"/>
        <w:gridCol w:w="720"/>
        <w:gridCol w:w="720"/>
      </w:tblGrid>
      <w:tr w:rsidR="00DF2FA6" w:rsidRPr="006E4445" w14:paraId="7E95B2ED" w14:textId="55CA2F28" w:rsidTr="00DF2FA6">
        <w:trPr>
          <w:cantSplit/>
          <w:trHeight w:val="2555"/>
        </w:trPr>
        <w:tc>
          <w:tcPr>
            <w:tcW w:w="4430" w:type="dxa"/>
            <w:tcBorders>
              <w:tl2br w:val="single" w:sz="4" w:space="0" w:color="auto"/>
            </w:tcBorders>
            <w:textDirection w:val="btLr"/>
          </w:tcPr>
          <w:p w14:paraId="52B55E43" w14:textId="02DC23D8" w:rsidR="00DF2FA6" w:rsidRDefault="00DF2FA6" w:rsidP="005655F5">
            <w:pPr>
              <w:spacing w:after="200"/>
              <w:ind w:left="113" w:right="113"/>
              <w:rPr>
                <w:sz w:val="24"/>
              </w:rPr>
            </w:pPr>
            <w:r>
              <w:rPr>
                <w:sz w:val="24"/>
              </w:rPr>
              <w:t>Autorizaciones</w:t>
            </w:r>
          </w:p>
          <w:p w14:paraId="6762D1BB" w14:textId="4D11CDD6" w:rsidR="00DF2FA6" w:rsidRDefault="00DF2FA6" w:rsidP="005655F5">
            <w:pPr>
              <w:spacing w:after="200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Electrónicas        </w:t>
            </w:r>
          </w:p>
          <w:p w14:paraId="1F6CFB24" w14:textId="77777777" w:rsidR="00DF2FA6" w:rsidRDefault="00DF2FA6" w:rsidP="005655F5">
            <w:pPr>
              <w:spacing w:after="200"/>
              <w:ind w:left="113" w:right="113"/>
              <w:rPr>
                <w:sz w:val="24"/>
              </w:rPr>
            </w:pPr>
          </w:p>
          <w:p w14:paraId="22778578" w14:textId="77777777" w:rsidR="00DF2FA6" w:rsidRDefault="00DF2FA6" w:rsidP="005655F5">
            <w:pPr>
              <w:spacing w:after="200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</w:p>
          <w:p w14:paraId="0DD26636" w14:textId="77777777" w:rsidR="00DF2FA6" w:rsidRDefault="00DF2FA6" w:rsidP="005655F5">
            <w:pPr>
              <w:spacing w:after="200"/>
              <w:ind w:left="113" w:right="113"/>
              <w:rPr>
                <w:sz w:val="24"/>
              </w:rPr>
            </w:pPr>
          </w:p>
          <w:p w14:paraId="5BA7DBA4" w14:textId="77777777" w:rsidR="00DF2FA6" w:rsidRDefault="00DF2FA6" w:rsidP="005655F5">
            <w:pPr>
              <w:spacing w:after="200"/>
              <w:ind w:left="113" w:right="113"/>
              <w:rPr>
                <w:sz w:val="24"/>
              </w:rPr>
            </w:pPr>
          </w:p>
          <w:p w14:paraId="51A1FAFE" w14:textId="77777777" w:rsidR="00DF2FA6" w:rsidRDefault="00DF2FA6" w:rsidP="005655F5">
            <w:pPr>
              <w:spacing w:after="200"/>
              <w:ind w:left="113" w:right="113"/>
              <w:rPr>
                <w:sz w:val="24"/>
              </w:rPr>
            </w:pPr>
          </w:p>
          <w:p w14:paraId="42AB9C44" w14:textId="4E26C900" w:rsidR="00DF2FA6" w:rsidRPr="006E4445" w:rsidRDefault="00DF2FA6" w:rsidP="005655F5">
            <w:pPr>
              <w:spacing w:after="200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       WS                                                        </w:t>
            </w:r>
          </w:p>
        </w:tc>
        <w:tc>
          <w:tcPr>
            <w:tcW w:w="748" w:type="dxa"/>
            <w:textDirection w:val="btLr"/>
          </w:tcPr>
          <w:p w14:paraId="17C0F8A4" w14:textId="1DF7B370" w:rsidR="00DF2FA6" w:rsidRPr="006E4445" w:rsidRDefault="00DF2FA6" w:rsidP="005655F5">
            <w:pPr>
              <w:spacing w:after="200"/>
              <w:ind w:left="113" w:right="113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proofErr w:type="spellStart"/>
            <w:r w:rsidRPr="006E4445">
              <w:rPr>
                <w:sz w:val="24"/>
              </w:rPr>
              <w:t>wgestatref</w:t>
            </w:r>
            <w:proofErr w:type="spellEnd"/>
          </w:p>
          <w:p w14:paraId="610F5CCE" w14:textId="77777777" w:rsidR="00DF2FA6" w:rsidRPr="006E4445" w:rsidRDefault="00DF2FA6" w:rsidP="005655F5">
            <w:pPr>
              <w:spacing w:after="200"/>
              <w:ind w:left="113" w:right="113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  <w:textDirection w:val="btLr"/>
          </w:tcPr>
          <w:p w14:paraId="256831A4" w14:textId="77777777" w:rsidR="00DF2FA6" w:rsidRPr="006E4445" w:rsidRDefault="00DF2FA6" w:rsidP="005655F5">
            <w:pPr>
              <w:spacing w:after="200"/>
              <w:ind w:left="113" w:right="113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proofErr w:type="spellStart"/>
            <w:r w:rsidRPr="006E4445">
              <w:rPr>
                <w:sz w:val="24"/>
              </w:rPr>
              <w:t>wconsparam</w:t>
            </w:r>
            <w:proofErr w:type="spellEnd"/>
          </w:p>
          <w:p w14:paraId="29451C26" w14:textId="77777777" w:rsidR="00DF2FA6" w:rsidRPr="006E4445" w:rsidRDefault="00DF2FA6" w:rsidP="005655F5">
            <w:pPr>
              <w:spacing w:after="200"/>
              <w:ind w:left="113" w:right="113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  <w:textDirection w:val="btLr"/>
          </w:tcPr>
          <w:p w14:paraId="5B55A0CA" w14:textId="77777777" w:rsidR="00DF2FA6" w:rsidRPr="006E4445" w:rsidRDefault="00DF2FA6" w:rsidP="005655F5">
            <w:pPr>
              <w:spacing w:after="200"/>
              <w:ind w:left="113" w:right="113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proofErr w:type="spellStart"/>
            <w:r w:rsidRPr="006E4445">
              <w:rPr>
                <w:sz w:val="24"/>
              </w:rPr>
              <w:t>wgesdeclaracion</w:t>
            </w:r>
            <w:proofErr w:type="spellEnd"/>
          </w:p>
          <w:p w14:paraId="7F064E0E" w14:textId="77777777" w:rsidR="00DF2FA6" w:rsidRPr="006E4445" w:rsidRDefault="00DF2FA6" w:rsidP="005655F5">
            <w:pPr>
              <w:spacing w:after="200"/>
              <w:ind w:left="113" w:right="113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  <w:textDirection w:val="btLr"/>
          </w:tcPr>
          <w:p w14:paraId="2FED65C6" w14:textId="77777777" w:rsidR="00DF2FA6" w:rsidRPr="006E4445" w:rsidRDefault="00DF2FA6" w:rsidP="005655F5">
            <w:pPr>
              <w:spacing w:after="200"/>
              <w:ind w:left="113" w:right="113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proofErr w:type="spellStart"/>
            <w:r w:rsidRPr="006E4445">
              <w:rPr>
                <w:sz w:val="24"/>
              </w:rPr>
              <w:t>wgespagosliq</w:t>
            </w:r>
            <w:proofErr w:type="spellEnd"/>
          </w:p>
          <w:p w14:paraId="41662BFB" w14:textId="77777777" w:rsidR="00DF2FA6" w:rsidRPr="006E4445" w:rsidRDefault="00DF2FA6" w:rsidP="005655F5">
            <w:pPr>
              <w:spacing w:after="200"/>
              <w:ind w:left="113" w:right="113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  <w:textDirection w:val="btLr"/>
          </w:tcPr>
          <w:p w14:paraId="07B207DD" w14:textId="77777777" w:rsidR="00DF2FA6" w:rsidRPr="006E4445" w:rsidRDefault="00DF2FA6" w:rsidP="005655F5">
            <w:pPr>
              <w:spacing w:after="200"/>
              <w:ind w:left="113" w:right="113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proofErr w:type="spellStart"/>
            <w:r w:rsidRPr="006E4445">
              <w:rPr>
                <w:sz w:val="24"/>
              </w:rPr>
              <w:t>whelperdeclaracion</w:t>
            </w:r>
            <w:proofErr w:type="spellEnd"/>
          </w:p>
          <w:p w14:paraId="53E46E4B" w14:textId="77777777" w:rsidR="00DF2FA6" w:rsidRPr="006E4445" w:rsidRDefault="00DF2FA6" w:rsidP="005655F5">
            <w:pPr>
              <w:spacing w:after="200"/>
              <w:ind w:left="113" w:right="113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  <w:textDirection w:val="btLr"/>
          </w:tcPr>
          <w:p w14:paraId="7D68183F" w14:textId="77777777" w:rsidR="00DF2FA6" w:rsidRPr="006E4445" w:rsidRDefault="00DF2FA6" w:rsidP="005655F5">
            <w:pPr>
              <w:spacing w:after="200"/>
              <w:ind w:left="113" w:right="113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proofErr w:type="spellStart"/>
            <w:r w:rsidRPr="006E4445">
              <w:rPr>
                <w:bCs/>
                <w:sz w:val="24"/>
                <w:szCs w:val="21"/>
                <w:shd w:val="clear" w:color="auto" w:fill="FFFFFF"/>
              </w:rPr>
              <w:t>wconsdocrequeridos</w:t>
            </w:r>
            <w:proofErr w:type="spellEnd"/>
          </w:p>
          <w:p w14:paraId="1D772366" w14:textId="77777777" w:rsidR="00DF2FA6" w:rsidRPr="006E4445" w:rsidRDefault="00DF2FA6" w:rsidP="005655F5">
            <w:pPr>
              <w:spacing w:after="200"/>
              <w:ind w:left="113" w:right="113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324" w:type="dxa"/>
            <w:textDirection w:val="btLr"/>
          </w:tcPr>
          <w:p w14:paraId="487FEE4B" w14:textId="085B2A41" w:rsidR="00DF2FA6" w:rsidRPr="006E4445" w:rsidRDefault="00DF2FA6" w:rsidP="005655F5">
            <w:pPr>
              <w:spacing w:after="200"/>
              <w:ind w:left="113" w:right="113"/>
              <w:rPr>
                <w:bCs/>
                <w:sz w:val="24"/>
                <w:szCs w:val="21"/>
                <w:shd w:val="clear" w:color="auto" w:fill="FFFFFF"/>
              </w:rPr>
            </w:pPr>
            <w:r>
              <w:rPr>
                <w:bCs/>
                <w:sz w:val="24"/>
                <w:szCs w:val="21"/>
                <w:shd w:val="clear" w:color="auto" w:fill="FFFFFF"/>
              </w:rPr>
              <w:t>MOA</w:t>
            </w:r>
          </w:p>
        </w:tc>
      </w:tr>
      <w:tr w:rsidR="00DF2FA6" w14:paraId="3660764A" w14:textId="6EE58823" w:rsidTr="00DF2FA6">
        <w:tc>
          <w:tcPr>
            <w:tcW w:w="4430" w:type="dxa"/>
          </w:tcPr>
          <w:p w14:paraId="4ACF1C39" w14:textId="640F751B" w:rsidR="00DF2FA6" w:rsidRPr="00FD26DF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0"/>
                <w:lang w:val="es-AR" w:eastAsia="en-US"/>
              </w:rPr>
            </w:pPr>
            <w:r w:rsidRPr="00FD26DF">
              <w:rPr>
                <w:rFonts w:asciiTheme="minorHAnsi" w:eastAsiaTheme="minorHAnsi" w:hAnsiTheme="minorHAnsi" w:cstheme="minorBidi"/>
                <w:color w:val="auto"/>
                <w:sz w:val="20"/>
                <w:lang w:val="es-AR" w:eastAsia="en-US"/>
              </w:rPr>
              <w:t>APODERADO GENERAL DE DESPACHANTE</w:t>
            </w:r>
          </w:p>
        </w:tc>
        <w:tc>
          <w:tcPr>
            <w:tcW w:w="748" w:type="dxa"/>
          </w:tcPr>
          <w:p w14:paraId="4FFE3B1D" w14:textId="0E93CA51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672E9BAD" w14:textId="56C54DA8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02173B61" w14:textId="6A4103C4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504DB18F" w14:textId="77777777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4FA19311" w14:textId="5B3A58F5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0493D509" w14:textId="68739847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324" w:type="dxa"/>
          </w:tcPr>
          <w:p w14:paraId="76A49F32" w14:textId="35A5BD80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</w:tr>
      <w:tr w:rsidR="00DF2FA6" w14:paraId="7BCAC0B6" w14:textId="247C445E" w:rsidTr="00DF2FA6">
        <w:tc>
          <w:tcPr>
            <w:tcW w:w="4430" w:type="dxa"/>
          </w:tcPr>
          <w:p w14:paraId="26DA1E9A" w14:textId="4680A9E6" w:rsidR="00DF2FA6" w:rsidRPr="00FD26DF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0"/>
                <w:lang w:val="es-AR" w:eastAsia="en-US"/>
              </w:rPr>
            </w:pPr>
            <w:r w:rsidRPr="00FD26DF">
              <w:rPr>
                <w:rFonts w:asciiTheme="minorHAnsi" w:eastAsiaTheme="minorHAnsi" w:hAnsiTheme="minorHAnsi" w:cstheme="minorBidi"/>
                <w:color w:val="auto"/>
                <w:sz w:val="20"/>
                <w:lang w:val="es-AR" w:eastAsia="en-US"/>
              </w:rPr>
              <w:t>DESPACHANTE - AUTORIZACIÓN GENERAL - EXPORTACIÓN</w:t>
            </w:r>
          </w:p>
        </w:tc>
        <w:tc>
          <w:tcPr>
            <w:tcW w:w="748" w:type="dxa"/>
          </w:tcPr>
          <w:p w14:paraId="2DA6BB51" w14:textId="34C83197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706CE25F" w14:textId="7F233D0D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1C354F73" w14:textId="3263ABF2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4435A8D9" w14:textId="77777777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599B5DE7" w14:textId="05EA1BB4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386E554A" w14:textId="77777777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324" w:type="dxa"/>
          </w:tcPr>
          <w:p w14:paraId="4E577FB9" w14:textId="01358529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</w:tr>
      <w:tr w:rsidR="00DF2FA6" w14:paraId="4F4B65F1" w14:textId="0DCBB12E" w:rsidTr="00DF2FA6">
        <w:tc>
          <w:tcPr>
            <w:tcW w:w="4430" w:type="dxa"/>
          </w:tcPr>
          <w:p w14:paraId="361E6B17" w14:textId="13D80791" w:rsidR="00DF2FA6" w:rsidRPr="00FD26DF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0"/>
                <w:lang w:val="es-AR" w:eastAsia="en-US"/>
              </w:rPr>
            </w:pPr>
            <w:r w:rsidRPr="00FD26DF">
              <w:rPr>
                <w:rFonts w:asciiTheme="minorHAnsi" w:eastAsiaTheme="minorHAnsi" w:hAnsiTheme="minorHAnsi" w:cstheme="minorBidi"/>
                <w:color w:val="auto"/>
                <w:sz w:val="20"/>
                <w:lang w:val="es-AR" w:eastAsia="en-US"/>
              </w:rPr>
              <w:t>DESPACHANTE - AUTORIZACIÓN GENERAL - IMPORTACIÓN</w:t>
            </w:r>
          </w:p>
        </w:tc>
        <w:tc>
          <w:tcPr>
            <w:tcW w:w="748" w:type="dxa"/>
          </w:tcPr>
          <w:p w14:paraId="2C4FF53D" w14:textId="7D423548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127FE706" w14:textId="744ABCB8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4FCE9E0E" w14:textId="3DEEFBB2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449266DD" w14:textId="143A9EBA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3F80F5B7" w14:textId="27E80EDA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515F479E" w14:textId="0C8E8D67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324" w:type="dxa"/>
          </w:tcPr>
          <w:p w14:paraId="5A58E470" w14:textId="53D3517A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</w:tr>
      <w:tr w:rsidR="00DF2FA6" w14:paraId="1A196630" w14:textId="1F407568" w:rsidTr="00DF2FA6">
        <w:tc>
          <w:tcPr>
            <w:tcW w:w="4430" w:type="dxa"/>
          </w:tcPr>
          <w:p w14:paraId="23BE681D" w14:textId="01E97D93" w:rsidR="00DF2FA6" w:rsidRPr="00FD26DF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0"/>
                <w:lang w:val="es-AR" w:eastAsia="en-US"/>
              </w:rPr>
            </w:pPr>
            <w:r w:rsidRPr="00FD26DF">
              <w:rPr>
                <w:rFonts w:asciiTheme="minorHAnsi" w:eastAsiaTheme="minorHAnsi" w:hAnsiTheme="minorHAnsi" w:cstheme="minorBidi"/>
                <w:color w:val="auto"/>
                <w:sz w:val="20"/>
                <w:lang w:val="es-AR" w:eastAsia="en-US"/>
              </w:rPr>
              <w:t>DESPACHANTE - AUTORIZACIÓN ESPECIAL - EXPORTACIÓN</w:t>
            </w:r>
          </w:p>
        </w:tc>
        <w:tc>
          <w:tcPr>
            <w:tcW w:w="748" w:type="dxa"/>
          </w:tcPr>
          <w:p w14:paraId="1A92BDD2" w14:textId="67AC471B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0A88F104" w14:textId="7F79875B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4292E41F" w14:textId="4868630A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18463F8C" w14:textId="5A3F45DF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5A009FDF" w14:textId="6CE9A3D6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650208D3" w14:textId="7236D90D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324" w:type="dxa"/>
          </w:tcPr>
          <w:p w14:paraId="06E4CCA9" w14:textId="026E5C8D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</w:tr>
      <w:tr w:rsidR="00DF2FA6" w14:paraId="08734FE7" w14:textId="128C1383" w:rsidTr="00DF2FA6">
        <w:tc>
          <w:tcPr>
            <w:tcW w:w="4430" w:type="dxa"/>
          </w:tcPr>
          <w:p w14:paraId="359E6E1F" w14:textId="77696C95" w:rsidR="00DF2FA6" w:rsidRPr="00FD26DF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0"/>
                <w:lang w:val="es-AR" w:eastAsia="en-US"/>
              </w:rPr>
            </w:pPr>
            <w:r w:rsidRPr="00FD26DF">
              <w:rPr>
                <w:rFonts w:asciiTheme="minorHAnsi" w:eastAsiaTheme="minorHAnsi" w:hAnsiTheme="minorHAnsi" w:cstheme="minorBidi"/>
                <w:color w:val="auto"/>
                <w:sz w:val="20"/>
                <w:lang w:val="es-AR" w:eastAsia="en-US"/>
              </w:rPr>
              <w:t>DESPACHANTE - AUTORIZACIÓN ESPECIAL - IMPORTACIÓN</w:t>
            </w:r>
          </w:p>
        </w:tc>
        <w:tc>
          <w:tcPr>
            <w:tcW w:w="748" w:type="dxa"/>
          </w:tcPr>
          <w:p w14:paraId="5B72099D" w14:textId="3D31AB74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40E7C57F" w14:textId="77777777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16905D79" w14:textId="358B51FD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3B5EB79C" w14:textId="77777777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3BB6AE8B" w14:textId="3CD53060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6A52E049" w14:textId="77777777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324" w:type="dxa"/>
          </w:tcPr>
          <w:p w14:paraId="22D55133" w14:textId="59ADA811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</w:tr>
      <w:tr w:rsidR="00DF2FA6" w14:paraId="6525554C" w14:textId="6C98C560" w:rsidTr="00DF2FA6">
        <w:tc>
          <w:tcPr>
            <w:tcW w:w="4430" w:type="dxa"/>
          </w:tcPr>
          <w:p w14:paraId="2B11416E" w14:textId="06C85BC4" w:rsidR="00DF2FA6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 w:rsidRPr="001F0E4D">
              <w:rPr>
                <w:rFonts w:asciiTheme="minorHAnsi" w:eastAsiaTheme="minorHAnsi" w:hAnsiTheme="minorHAnsi" w:cstheme="minorBidi"/>
                <w:color w:val="auto"/>
                <w:sz w:val="20"/>
                <w:lang w:val="es-AR" w:eastAsia="en-US"/>
              </w:rPr>
              <w:lastRenderedPageBreak/>
              <w:t>DEPENDIENTE DEL DESPACHANTE - AUTORIZACION GENERAL</w:t>
            </w:r>
          </w:p>
        </w:tc>
        <w:tc>
          <w:tcPr>
            <w:tcW w:w="748" w:type="dxa"/>
          </w:tcPr>
          <w:p w14:paraId="4ACCFC4D" w14:textId="2EDF741E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34F7F655" w14:textId="50D0C78E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27B1E4FC" w14:textId="77777777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6EAA63AC" w14:textId="370AA818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  <w:tc>
          <w:tcPr>
            <w:tcW w:w="748" w:type="dxa"/>
          </w:tcPr>
          <w:p w14:paraId="19BEAC4E" w14:textId="77777777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42E4F8B0" w14:textId="77777777" w:rsidR="00DF2FA6" w:rsidRDefault="00DF2FA6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324" w:type="dxa"/>
          </w:tcPr>
          <w:p w14:paraId="3BD8E864" w14:textId="67DA26AD" w:rsidR="00DF2FA6" w:rsidRDefault="006F4D62" w:rsidP="006F4D62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  <w:t>X</w:t>
            </w:r>
          </w:p>
        </w:tc>
      </w:tr>
      <w:tr w:rsidR="00DF2FA6" w14:paraId="7E4703A9" w14:textId="0B580931" w:rsidTr="00DF2FA6">
        <w:tc>
          <w:tcPr>
            <w:tcW w:w="4430" w:type="dxa"/>
          </w:tcPr>
          <w:p w14:paraId="5D3355F5" w14:textId="4FDDE34A" w:rsidR="00DF2FA6" w:rsidRPr="001F0E4D" w:rsidRDefault="00DF2FA6" w:rsidP="00DF2FA6">
            <w:pPr>
              <w:spacing w:after="200"/>
              <w:jc w:val="center"/>
              <w:rPr>
                <w:rFonts w:asciiTheme="minorHAnsi" w:eastAsiaTheme="minorHAnsi" w:hAnsiTheme="minorHAnsi" w:cstheme="minorBidi"/>
                <w:color w:val="auto"/>
                <w:sz w:val="20"/>
                <w:lang w:val="es-AR" w:eastAsia="en-US"/>
              </w:rPr>
            </w:pPr>
            <w:r w:rsidRPr="00DF2FA6">
              <w:rPr>
                <w:rFonts w:asciiTheme="minorHAnsi" w:eastAsiaTheme="minorHAnsi" w:hAnsiTheme="minorHAnsi" w:cstheme="minorBidi"/>
                <w:color w:val="auto"/>
                <w:sz w:val="28"/>
                <w:lang w:val="es-AR" w:eastAsia="en-US"/>
              </w:rPr>
              <w:t>…</w:t>
            </w:r>
          </w:p>
        </w:tc>
        <w:tc>
          <w:tcPr>
            <w:tcW w:w="748" w:type="dxa"/>
          </w:tcPr>
          <w:p w14:paraId="15758ACC" w14:textId="77777777" w:rsidR="00DF2FA6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595A7213" w14:textId="77777777" w:rsidR="00DF2FA6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7DD7250E" w14:textId="77777777" w:rsidR="00DF2FA6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41B58857" w14:textId="77777777" w:rsidR="00DF2FA6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6C3C4DFD" w14:textId="77777777" w:rsidR="00DF2FA6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748" w:type="dxa"/>
          </w:tcPr>
          <w:p w14:paraId="6088E1B0" w14:textId="77777777" w:rsidR="00DF2FA6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  <w:tc>
          <w:tcPr>
            <w:tcW w:w="324" w:type="dxa"/>
          </w:tcPr>
          <w:p w14:paraId="4B654D81" w14:textId="77777777" w:rsidR="00DF2FA6" w:rsidRDefault="00DF2FA6" w:rsidP="005655F5">
            <w:pPr>
              <w:spacing w:after="200"/>
              <w:rPr>
                <w:rFonts w:asciiTheme="minorHAnsi" w:eastAsiaTheme="minorHAnsi" w:hAnsiTheme="minorHAnsi" w:cstheme="minorBidi"/>
                <w:color w:val="auto"/>
                <w:sz w:val="24"/>
                <w:lang w:val="es-AR" w:eastAsia="en-US"/>
              </w:rPr>
            </w:pPr>
          </w:p>
        </w:tc>
      </w:tr>
    </w:tbl>
    <w:p w14:paraId="00F9F3F2" w14:textId="77777777" w:rsidR="00430A20" w:rsidRDefault="00430A20" w:rsidP="00597533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</w:p>
    <w:p w14:paraId="497AC05C" w14:textId="77777777" w:rsidR="00064E45" w:rsidRDefault="00064E45" w:rsidP="00597533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</w:p>
    <w:p w14:paraId="019E1FC9" w14:textId="77777777" w:rsidR="007D3D37" w:rsidRPr="007D3D37" w:rsidRDefault="007D3D37" w:rsidP="007D3D37">
      <w:pPr>
        <w:spacing w:after="200"/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</w:pPr>
      <w:r w:rsidRPr="007D3D37">
        <w:rPr>
          <w:rFonts w:ascii="Tw Cen MT" w:eastAsia="Times New Roman" w:hAnsi="Tw Cen MT" w:cs="Times New Roman"/>
          <w:caps/>
          <w:color w:val="0070C0"/>
          <w:kern w:val="24"/>
          <w:sz w:val="28"/>
          <w:szCs w:val="110"/>
          <w:lang w:val="es-AR" w:eastAsia="es-AR"/>
          <w14:ligatures w14:val="standardContextual"/>
        </w:rPr>
        <w:t>Historial de revisiones</w:t>
      </w:r>
    </w:p>
    <w:p w14:paraId="2A361D11" w14:textId="77777777" w:rsidR="007D3D37" w:rsidRDefault="007D3D37" w:rsidP="007D3D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3686"/>
      </w:tblGrid>
      <w:tr w:rsidR="007D3D37" w14:paraId="6D30DAE0" w14:textId="77777777" w:rsidTr="001570FA">
        <w:tc>
          <w:tcPr>
            <w:tcW w:w="1526" w:type="dxa"/>
            <w:shd w:val="clear" w:color="auto" w:fill="8EAADB" w:themeFill="accent1" w:themeFillTint="99"/>
          </w:tcPr>
          <w:p w14:paraId="7905CDBF" w14:textId="77777777" w:rsidR="007D3D37" w:rsidRDefault="007D3D37" w:rsidP="001570FA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FECHA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6EB3030B" w14:textId="77777777" w:rsidR="007D3D37" w:rsidRDefault="007D3D37" w:rsidP="001570FA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RESPONSABLE</w:t>
            </w:r>
          </w:p>
        </w:tc>
        <w:tc>
          <w:tcPr>
            <w:tcW w:w="3686" w:type="dxa"/>
            <w:shd w:val="clear" w:color="auto" w:fill="8EAADB" w:themeFill="accent1" w:themeFillTint="99"/>
          </w:tcPr>
          <w:p w14:paraId="6488BFBE" w14:textId="77777777" w:rsidR="007D3D37" w:rsidRDefault="007D3D37" w:rsidP="001570FA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COMENTARIOS</w:t>
            </w:r>
          </w:p>
        </w:tc>
      </w:tr>
      <w:tr w:rsidR="007D3D37" w14:paraId="0AC44B69" w14:textId="77777777" w:rsidTr="001570FA">
        <w:tc>
          <w:tcPr>
            <w:tcW w:w="1526" w:type="dxa"/>
          </w:tcPr>
          <w:p w14:paraId="0649B113" w14:textId="13471C16" w:rsidR="007D3D37" w:rsidRDefault="007D3D37" w:rsidP="001570FA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25/01/2018</w:t>
            </w:r>
          </w:p>
        </w:tc>
        <w:tc>
          <w:tcPr>
            <w:tcW w:w="2693" w:type="dxa"/>
          </w:tcPr>
          <w:p w14:paraId="541AD661" w14:textId="55E03F14" w:rsidR="007D3D37" w:rsidRDefault="007D3D37" w:rsidP="001570FA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Gorriz Leandro</w:t>
            </w:r>
          </w:p>
        </w:tc>
        <w:tc>
          <w:tcPr>
            <w:tcW w:w="3686" w:type="dxa"/>
          </w:tcPr>
          <w:p w14:paraId="249F3516" w14:textId="77777777" w:rsidR="007D3D37" w:rsidRDefault="007D3D37" w:rsidP="001570FA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 xml:space="preserve">Version Inicial </w:t>
            </w:r>
          </w:p>
        </w:tc>
      </w:tr>
      <w:tr w:rsidR="007D3D37" w14:paraId="33380C8B" w14:textId="77777777" w:rsidTr="001570FA">
        <w:tc>
          <w:tcPr>
            <w:tcW w:w="1526" w:type="dxa"/>
          </w:tcPr>
          <w:p w14:paraId="278DBA63" w14:textId="3728EDB7" w:rsidR="007D3D37" w:rsidRDefault="00FD4998" w:rsidP="001570FA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07/02/2018</w:t>
            </w:r>
          </w:p>
        </w:tc>
        <w:tc>
          <w:tcPr>
            <w:tcW w:w="2693" w:type="dxa"/>
          </w:tcPr>
          <w:p w14:paraId="03342722" w14:textId="493D00DD" w:rsidR="007D3D37" w:rsidRDefault="00FD4998" w:rsidP="001570FA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Ignacio Barbero</w:t>
            </w:r>
          </w:p>
        </w:tc>
        <w:tc>
          <w:tcPr>
            <w:tcW w:w="3686" w:type="dxa"/>
          </w:tcPr>
          <w:p w14:paraId="02CDFB8D" w14:textId="353EC222" w:rsidR="007D3D37" w:rsidRDefault="00FD4998" w:rsidP="001570FA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No parecería haber otras autorizaciones relevantes para VUCE en el Gestor de autorizaciones electrónicas. Aclararía que es necesario dar permiso vía “Administrador de relaciones” sobre el servicio MOA.</w:t>
            </w:r>
          </w:p>
        </w:tc>
      </w:tr>
      <w:tr w:rsidR="007D3D37" w14:paraId="1831D3C3" w14:textId="77777777" w:rsidTr="001570FA">
        <w:tc>
          <w:tcPr>
            <w:tcW w:w="1526" w:type="dxa"/>
          </w:tcPr>
          <w:p w14:paraId="08460371" w14:textId="77777777" w:rsidR="007D3D37" w:rsidRDefault="007D3D37" w:rsidP="001570FA">
            <w:pPr>
              <w:rPr>
                <w:noProof/>
                <w:lang w:eastAsia="es-AR"/>
              </w:rPr>
            </w:pPr>
          </w:p>
        </w:tc>
        <w:tc>
          <w:tcPr>
            <w:tcW w:w="2693" w:type="dxa"/>
          </w:tcPr>
          <w:p w14:paraId="00FEB4CF" w14:textId="77777777" w:rsidR="007D3D37" w:rsidRDefault="007D3D37" w:rsidP="001570FA">
            <w:pPr>
              <w:rPr>
                <w:noProof/>
                <w:lang w:eastAsia="es-AR"/>
              </w:rPr>
            </w:pPr>
          </w:p>
        </w:tc>
        <w:tc>
          <w:tcPr>
            <w:tcW w:w="3686" w:type="dxa"/>
          </w:tcPr>
          <w:p w14:paraId="466B29DD" w14:textId="77777777" w:rsidR="007D3D37" w:rsidRDefault="007D3D37" w:rsidP="001570FA">
            <w:pPr>
              <w:rPr>
                <w:noProof/>
                <w:lang w:eastAsia="es-AR"/>
              </w:rPr>
            </w:pPr>
          </w:p>
        </w:tc>
      </w:tr>
      <w:tr w:rsidR="007D3D37" w14:paraId="61147BB8" w14:textId="77777777" w:rsidTr="001570FA">
        <w:tc>
          <w:tcPr>
            <w:tcW w:w="1526" w:type="dxa"/>
          </w:tcPr>
          <w:p w14:paraId="4A95A1ED" w14:textId="77777777" w:rsidR="007D3D37" w:rsidRDefault="007D3D37" w:rsidP="001570FA">
            <w:pPr>
              <w:rPr>
                <w:noProof/>
                <w:lang w:eastAsia="es-AR"/>
              </w:rPr>
            </w:pPr>
          </w:p>
        </w:tc>
        <w:tc>
          <w:tcPr>
            <w:tcW w:w="2693" w:type="dxa"/>
          </w:tcPr>
          <w:p w14:paraId="6971E2E0" w14:textId="77777777" w:rsidR="007D3D37" w:rsidRDefault="007D3D37" w:rsidP="001570FA">
            <w:pPr>
              <w:rPr>
                <w:noProof/>
                <w:lang w:eastAsia="es-AR"/>
              </w:rPr>
            </w:pPr>
          </w:p>
        </w:tc>
        <w:tc>
          <w:tcPr>
            <w:tcW w:w="3686" w:type="dxa"/>
          </w:tcPr>
          <w:p w14:paraId="5119AD26" w14:textId="77777777" w:rsidR="007D3D37" w:rsidRDefault="007D3D37" w:rsidP="001570FA">
            <w:pPr>
              <w:rPr>
                <w:noProof/>
                <w:lang w:eastAsia="es-AR"/>
              </w:rPr>
            </w:pPr>
          </w:p>
        </w:tc>
      </w:tr>
    </w:tbl>
    <w:p w14:paraId="69DB37C7" w14:textId="77777777" w:rsidR="007D3D37" w:rsidRDefault="007D3D37" w:rsidP="007D3D37">
      <w:pPr>
        <w:rPr>
          <w:noProof/>
          <w:lang w:eastAsia="es-AR"/>
        </w:rPr>
      </w:pPr>
    </w:p>
    <w:p w14:paraId="7BE572AD" w14:textId="77777777" w:rsidR="00064E45" w:rsidRPr="00430A20" w:rsidRDefault="00064E45" w:rsidP="00597533">
      <w:pPr>
        <w:spacing w:after="200"/>
        <w:rPr>
          <w:rFonts w:asciiTheme="minorHAnsi" w:eastAsiaTheme="minorHAnsi" w:hAnsiTheme="minorHAnsi" w:cstheme="minorBidi"/>
          <w:color w:val="auto"/>
          <w:sz w:val="24"/>
          <w:lang w:val="es-AR" w:eastAsia="en-US"/>
        </w:rPr>
      </w:pPr>
    </w:p>
    <w:sectPr w:rsidR="00064E45" w:rsidRPr="00430A20" w:rsidSect="00B81C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C71AE" w14:textId="77777777" w:rsidR="004A3585" w:rsidRDefault="004A3585" w:rsidP="00FE6860">
      <w:pPr>
        <w:spacing w:line="240" w:lineRule="auto"/>
      </w:pPr>
      <w:r>
        <w:separator/>
      </w:r>
    </w:p>
  </w:endnote>
  <w:endnote w:type="continuationSeparator" w:id="0">
    <w:p w14:paraId="0CB8F7F4" w14:textId="77777777" w:rsidR="004A3585" w:rsidRDefault="004A3585" w:rsidP="00FE6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51994" w14:textId="77777777" w:rsidR="00BB365A" w:rsidRDefault="00BB365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482A7" w14:textId="77777777" w:rsidR="00BB365A" w:rsidRDefault="00BB365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D88CD" w14:textId="77777777" w:rsidR="00BB365A" w:rsidRDefault="00BB36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6BE4B5" w14:textId="77777777" w:rsidR="004A3585" w:rsidRDefault="004A3585" w:rsidP="00FE6860">
      <w:pPr>
        <w:spacing w:line="240" w:lineRule="auto"/>
      </w:pPr>
      <w:r>
        <w:separator/>
      </w:r>
    </w:p>
  </w:footnote>
  <w:footnote w:type="continuationSeparator" w:id="0">
    <w:p w14:paraId="3C6E8F7E" w14:textId="77777777" w:rsidR="004A3585" w:rsidRDefault="004A3585" w:rsidP="00FE68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FFF25" w14:textId="77777777" w:rsidR="00BB365A" w:rsidRDefault="00BB365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933F1" w14:textId="74092EEB" w:rsidR="00BB365A" w:rsidRDefault="00BB365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917FC" w14:textId="77777777" w:rsidR="00BB365A" w:rsidRDefault="00BB36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C2C"/>
    <w:multiLevelType w:val="hybridMultilevel"/>
    <w:tmpl w:val="92B6E9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024A3"/>
    <w:multiLevelType w:val="hybridMultilevel"/>
    <w:tmpl w:val="52644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04A6E"/>
    <w:multiLevelType w:val="hybridMultilevel"/>
    <w:tmpl w:val="563239A6"/>
    <w:lvl w:ilvl="0" w:tplc="05FAA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70C0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06163"/>
    <w:multiLevelType w:val="hybridMultilevel"/>
    <w:tmpl w:val="BDAE6FD4"/>
    <w:lvl w:ilvl="0" w:tplc="C962340A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00421"/>
    <w:multiLevelType w:val="hybridMultilevel"/>
    <w:tmpl w:val="1B4819FE"/>
    <w:lvl w:ilvl="0" w:tplc="C962340A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43309"/>
    <w:multiLevelType w:val="hybridMultilevel"/>
    <w:tmpl w:val="BDAE6FD4"/>
    <w:lvl w:ilvl="0" w:tplc="C962340A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C68F6"/>
    <w:multiLevelType w:val="hybridMultilevel"/>
    <w:tmpl w:val="ED881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112FE"/>
    <w:multiLevelType w:val="hybridMultilevel"/>
    <w:tmpl w:val="92B6E9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F767D2"/>
    <w:multiLevelType w:val="hybridMultilevel"/>
    <w:tmpl w:val="4382264E"/>
    <w:lvl w:ilvl="0" w:tplc="05FAA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70C0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213BF"/>
    <w:multiLevelType w:val="hybridMultilevel"/>
    <w:tmpl w:val="51827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B36C9"/>
    <w:multiLevelType w:val="multilevel"/>
    <w:tmpl w:val="F98A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FEF5C88"/>
    <w:multiLevelType w:val="hybridMultilevel"/>
    <w:tmpl w:val="110A2A7A"/>
    <w:lvl w:ilvl="0" w:tplc="2C0A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11328"/>
    <w:multiLevelType w:val="hybridMultilevel"/>
    <w:tmpl w:val="365CEF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FB7784"/>
    <w:multiLevelType w:val="hybridMultilevel"/>
    <w:tmpl w:val="ADF05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42F8C"/>
    <w:multiLevelType w:val="hybridMultilevel"/>
    <w:tmpl w:val="906867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96575"/>
    <w:multiLevelType w:val="hybridMultilevel"/>
    <w:tmpl w:val="BDAE6FD4"/>
    <w:lvl w:ilvl="0" w:tplc="C962340A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8B3B28"/>
    <w:multiLevelType w:val="hybridMultilevel"/>
    <w:tmpl w:val="638C7E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84E7D"/>
    <w:multiLevelType w:val="hybridMultilevel"/>
    <w:tmpl w:val="C6F8D1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C753A"/>
    <w:multiLevelType w:val="hybridMultilevel"/>
    <w:tmpl w:val="14C2A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B1D44"/>
    <w:multiLevelType w:val="hybridMultilevel"/>
    <w:tmpl w:val="FE7A5BA0"/>
    <w:lvl w:ilvl="0" w:tplc="05FAA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70C0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C37F28"/>
    <w:multiLevelType w:val="hybridMultilevel"/>
    <w:tmpl w:val="D44C138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7184C"/>
    <w:multiLevelType w:val="hybridMultilevel"/>
    <w:tmpl w:val="B70E3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5"/>
  </w:num>
  <w:num w:numId="5">
    <w:abstractNumId w:val="9"/>
  </w:num>
  <w:num w:numId="6">
    <w:abstractNumId w:val="5"/>
  </w:num>
  <w:num w:numId="7">
    <w:abstractNumId w:val="3"/>
  </w:num>
  <w:num w:numId="8">
    <w:abstractNumId w:val="18"/>
  </w:num>
  <w:num w:numId="9">
    <w:abstractNumId w:val="11"/>
  </w:num>
  <w:num w:numId="10">
    <w:abstractNumId w:val="4"/>
  </w:num>
  <w:num w:numId="11">
    <w:abstractNumId w:val="21"/>
  </w:num>
  <w:num w:numId="12">
    <w:abstractNumId w:val="14"/>
  </w:num>
  <w:num w:numId="13">
    <w:abstractNumId w:val="6"/>
  </w:num>
  <w:num w:numId="14">
    <w:abstractNumId w:val="17"/>
  </w:num>
  <w:num w:numId="15">
    <w:abstractNumId w:val="12"/>
  </w:num>
  <w:num w:numId="16">
    <w:abstractNumId w:val="10"/>
  </w:num>
  <w:num w:numId="17">
    <w:abstractNumId w:val="2"/>
  </w:num>
  <w:num w:numId="18">
    <w:abstractNumId w:val="8"/>
  </w:num>
  <w:num w:numId="19">
    <w:abstractNumId w:val="19"/>
  </w:num>
  <w:num w:numId="20">
    <w:abstractNumId w:val="20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E4"/>
    <w:rsid w:val="00000876"/>
    <w:rsid w:val="00000C93"/>
    <w:rsid w:val="000040B9"/>
    <w:rsid w:val="00005158"/>
    <w:rsid w:val="000060BF"/>
    <w:rsid w:val="00012715"/>
    <w:rsid w:val="00016FBA"/>
    <w:rsid w:val="00030885"/>
    <w:rsid w:val="0005086C"/>
    <w:rsid w:val="0006129C"/>
    <w:rsid w:val="00064E45"/>
    <w:rsid w:val="000910D2"/>
    <w:rsid w:val="000C321E"/>
    <w:rsid w:val="000C34FC"/>
    <w:rsid w:val="000D134D"/>
    <w:rsid w:val="000E2FB0"/>
    <w:rsid w:val="000E5376"/>
    <w:rsid w:val="001078CF"/>
    <w:rsid w:val="0011459E"/>
    <w:rsid w:val="001378D7"/>
    <w:rsid w:val="00145FFB"/>
    <w:rsid w:val="00155C33"/>
    <w:rsid w:val="00156704"/>
    <w:rsid w:val="00192327"/>
    <w:rsid w:val="00192D56"/>
    <w:rsid w:val="00194FF6"/>
    <w:rsid w:val="001B07D1"/>
    <w:rsid w:val="001B43AA"/>
    <w:rsid w:val="001D3BC0"/>
    <w:rsid w:val="001D4AF4"/>
    <w:rsid w:val="001F0E4D"/>
    <w:rsid w:val="0020080D"/>
    <w:rsid w:val="002105DF"/>
    <w:rsid w:val="00243E5F"/>
    <w:rsid w:val="00252BBE"/>
    <w:rsid w:val="00263C35"/>
    <w:rsid w:val="00282899"/>
    <w:rsid w:val="002972CD"/>
    <w:rsid w:val="002A4E38"/>
    <w:rsid w:val="002B173A"/>
    <w:rsid w:val="002C7086"/>
    <w:rsid w:val="002C77DF"/>
    <w:rsid w:val="002E40DB"/>
    <w:rsid w:val="003179F1"/>
    <w:rsid w:val="00321177"/>
    <w:rsid w:val="00386B68"/>
    <w:rsid w:val="003963E4"/>
    <w:rsid w:val="003A08A4"/>
    <w:rsid w:val="003A7347"/>
    <w:rsid w:val="003F0AD5"/>
    <w:rsid w:val="0040730B"/>
    <w:rsid w:val="00414A22"/>
    <w:rsid w:val="00430A20"/>
    <w:rsid w:val="0045394B"/>
    <w:rsid w:val="00462E67"/>
    <w:rsid w:val="00497FA7"/>
    <w:rsid w:val="004A0034"/>
    <w:rsid w:val="004A3585"/>
    <w:rsid w:val="004A476E"/>
    <w:rsid w:val="0055063C"/>
    <w:rsid w:val="00565126"/>
    <w:rsid w:val="005711A3"/>
    <w:rsid w:val="00583C72"/>
    <w:rsid w:val="00594630"/>
    <w:rsid w:val="0059582C"/>
    <w:rsid w:val="00597533"/>
    <w:rsid w:val="005A7588"/>
    <w:rsid w:val="005B5B9F"/>
    <w:rsid w:val="005B5C2B"/>
    <w:rsid w:val="005D70B7"/>
    <w:rsid w:val="005D7339"/>
    <w:rsid w:val="0062115E"/>
    <w:rsid w:val="0063570E"/>
    <w:rsid w:val="0064093E"/>
    <w:rsid w:val="00646955"/>
    <w:rsid w:val="0067015C"/>
    <w:rsid w:val="006751B4"/>
    <w:rsid w:val="006A13A2"/>
    <w:rsid w:val="006B49F6"/>
    <w:rsid w:val="006C3E7E"/>
    <w:rsid w:val="006D60C1"/>
    <w:rsid w:val="006E292F"/>
    <w:rsid w:val="006E4445"/>
    <w:rsid w:val="006F4D62"/>
    <w:rsid w:val="00751C00"/>
    <w:rsid w:val="007540EB"/>
    <w:rsid w:val="00762CCF"/>
    <w:rsid w:val="00762F55"/>
    <w:rsid w:val="007A0CCB"/>
    <w:rsid w:val="007D3D37"/>
    <w:rsid w:val="007D47D1"/>
    <w:rsid w:val="007F7CAD"/>
    <w:rsid w:val="008103BE"/>
    <w:rsid w:val="00814849"/>
    <w:rsid w:val="00824A9D"/>
    <w:rsid w:val="00873505"/>
    <w:rsid w:val="008B2608"/>
    <w:rsid w:val="008C5C84"/>
    <w:rsid w:val="008D2B0C"/>
    <w:rsid w:val="00913552"/>
    <w:rsid w:val="00926F36"/>
    <w:rsid w:val="009414B3"/>
    <w:rsid w:val="0094493E"/>
    <w:rsid w:val="00962946"/>
    <w:rsid w:val="00976939"/>
    <w:rsid w:val="0098028F"/>
    <w:rsid w:val="009834AD"/>
    <w:rsid w:val="00995398"/>
    <w:rsid w:val="009B2FAD"/>
    <w:rsid w:val="009E0A4A"/>
    <w:rsid w:val="009F35CF"/>
    <w:rsid w:val="009F42C2"/>
    <w:rsid w:val="00A123BC"/>
    <w:rsid w:val="00A138A1"/>
    <w:rsid w:val="00A5487D"/>
    <w:rsid w:val="00A6233D"/>
    <w:rsid w:val="00A64A62"/>
    <w:rsid w:val="00A9602C"/>
    <w:rsid w:val="00AA209A"/>
    <w:rsid w:val="00AA636F"/>
    <w:rsid w:val="00AC4DAD"/>
    <w:rsid w:val="00AC5472"/>
    <w:rsid w:val="00AD11A8"/>
    <w:rsid w:val="00AD5FAE"/>
    <w:rsid w:val="00B20829"/>
    <w:rsid w:val="00B255E4"/>
    <w:rsid w:val="00B43F4F"/>
    <w:rsid w:val="00B5023F"/>
    <w:rsid w:val="00B81C91"/>
    <w:rsid w:val="00BA6362"/>
    <w:rsid w:val="00BB365A"/>
    <w:rsid w:val="00BC2583"/>
    <w:rsid w:val="00BD1E3E"/>
    <w:rsid w:val="00BD6743"/>
    <w:rsid w:val="00BF2EB6"/>
    <w:rsid w:val="00C04A87"/>
    <w:rsid w:val="00C16AE8"/>
    <w:rsid w:val="00C44074"/>
    <w:rsid w:val="00C4431F"/>
    <w:rsid w:val="00C62AB7"/>
    <w:rsid w:val="00C77218"/>
    <w:rsid w:val="00C872E0"/>
    <w:rsid w:val="00C92DDF"/>
    <w:rsid w:val="00CA2F9F"/>
    <w:rsid w:val="00D02190"/>
    <w:rsid w:val="00D41F7E"/>
    <w:rsid w:val="00D535DE"/>
    <w:rsid w:val="00D82FD1"/>
    <w:rsid w:val="00D85B92"/>
    <w:rsid w:val="00D948EF"/>
    <w:rsid w:val="00D9709B"/>
    <w:rsid w:val="00DA2EA4"/>
    <w:rsid w:val="00DD10A9"/>
    <w:rsid w:val="00DD6034"/>
    <w:rsid w:val="00DF2FA6"/>
    <w:rsid w:val="00DF7FF8"/>
    <w:rsid w:val="00E73254"/>
    <w:rsid w:val="00E75FE0"/>
    <w:rsid w:val="00EA5030"/>
    <w:rsid w:val="00EB0837"/>
    <w:rsid w:val="00EB731C"/>
    <w:rsid w:val="00ED6B26"/>
    <w:rsid w:val="00EF5967"/>
    <w:rsid w:val="00EF6CE0"/>
    <w:rsid w:val="00F32CD7"/>
    <w:rsid w:val="00F374F1"/>
    <w:rsid w:val="00F53A95"/>
    <w:rsid w:val="00F54116"/>
    <w:rsid w:val="00F57614"/>
    <w:rsid w:val="00F57EC3"/>
    <w:rsid w:val="00F727ED"/>
    <w:rsid w:val="00F85F75"/>
    <w:rsid w:val="00FD26DF"/>
    <w:rsid w:val="00FD4998"/>
    <w:rsid w:val="00FE3801"/>
    <w:rsid w:val="00FE6860"/>
    <w:rsid w:val="00F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33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E4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5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55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6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55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D67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F6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44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40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4074"/>
    <w:rPr>
      <w:rFonts w:ascii="Arial" w:eastAsia="Arial" w:hAnsi="Arial" w:cs="Arial"/>
      <w:color w:val="000000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4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4074"/>
    <w:rPr>
      <w:rFonts w:ascii="Arial" w:eastAsia="Arial" w:hAnsi="Arial" w:cs="Arial"/>
      <w:b/>
      <w:bCs/>
      <w:color w:val="000000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0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074"/>
    <w:rPr>
      <w:rFonts w:ascii="Tahoma" w:eastAsia="Arial" w:hAnsi="Tahoma" w:cs="Tahoma"/>
      <w:color w:val="000000"/>
      <w:sz w:val="16"/>
      <w:szCs w:val="16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8103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8289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C62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E686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860"/>
    <w:rPr>
      <w:rFonts w:ascii="Arial" w:eastAsia="Arial" w:hAnsi="Arial" w:cs="Arial"/>
      <w:color w:val="00000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E686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860"/>
    <w:rPr>
      <w:rFonts w:ascii="Arial" w:eastAsia="Arial" w:hAnsi="Arial" w:cs="Arial"/>
      <w:color w:val="00000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E4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5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55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6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55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D67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F6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44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40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4074"/>
    <w:rPr>
      <w:rFonts w:ascii="Arial" w:eastAsia="Arial" w:hAnsi="Arial" w:cs="Arial"/>
      <w:color w:val="000000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4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4074"/>
    <w:rPr>
      <w:rFonts w:ascii="Arial" w:eastAsia="Arial" w:hAnsi="Arial" w:cs="Arial"/>
      <w:b/>
      <w:bCs/>
      <w:color w:val="000000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0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074"/>
    <w:rPr>
      <w:rFonts w:ascii="Tahoma" w:eastAsia="Arial" w:hAnsi="Tahoma" w:cs="Tahoma"/>
      <w:color w:val="000000"/>
      <w:sz w:val="16"/>
      <w:szCs w:val="16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8103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8289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C62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E686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860"/>
    <w:rPr>
      <w:rFonts w:ascii="Arial" w:eastAsia="Arial" w:hAnsi="Arial" w:cs="Arial"/>
      <w:color w:val="00000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E686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860"/>
    <w:rPr>
      <w:rFonts w:ascii="Arial" w:eastAsia="Arial" w:hAnsi="Arial" w:cs="Arial"/>
      <w:color w:val="00000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Barbero</dc:creator>
  <cp:lastModifiedBy>lgorriz</cp:lastModifiedBy>
  <cp:revision>2</cp:revision>
  <cp:lastPrinted>2018-01-23T20:49:00Z</cp:lastPrinted>
  <dcterms:created xsi:type="dcterms:W3CDTF">2018-02-19T14:03:00Z</dcterms:created>
  <dcterms:modified xsi:type="dcterms:W3CDTF">2018-02-19T14:03:00Z</dcterms:modified>
</cp:coreProperties>
</file>