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Arial" w:hAnsi="Arial"/>
          <w:b/>
          <w:color w:val="0C2340"/>
          <w:sz w:val="52"/>
        </w:rPr>
        <w:t>Software Requirements Specification</w:t>
      </w:r>
    </w:p>
    <w:p>
      <w:pPr>
        <w:spacing w:before="120" w:after="120"/>
        <w:jc w:val="center"/>
      </w:pPr>
      <w:r>
        <w:rPr>
          <w:rFonts w:ascii="Arial" w:hAnsi="Arial"/>
          <w:i/>
          <w:color w:val="64748B"/>
          <w:sz w:val="28"/>
        </w:rPr>
        <w:t>for</w:t>
      </w:r>
    </w:p>
    <w:p>
      <w:pPr>
        <w:spacing w:after="360"/>
        <w:jc w:val="center"/>
      </w:pPr>
      <w:r>
        <w:rPr>
          <w:rFonts w:ascii="Arial" w:hAnsi="Arial"/>
          <w:b/>
          <w:color w:val="10B981"/>
          <w:sz w:val="40"/>
        </w:rPr>
        <w:t>Blue Sentinel:</w:t>
        <w:br/>
        <w:t>Marine Debris Detection &amp; Ecological Audit System</w:t>
      </w:r>
    </w:p>
    <w:p>
      <w:pPr>
        <w:spacing w:before="720" w:after="960"/>
        <w:jc w:val="center"/>
      </w:pPr>
      <w:r>
        <w:rPr>
          <w:rFonts w:ascii="Arial" w:hAnsi="Arial"/>
          <w:b/>
          <w:color w:val="1E293B"/>
          <w:sz w:val="26"/>
        </w:rPr>
        <w:t>Version 2.0 (IEEE Std 830-1998 Compliant)</w:t>
      </w:r>
    </w:p>
    <w:p>
      <w:pPr>
        <w:spacing w:line="336" w:lineRule="auto"/>
        <w:jc w:val="center"/>
      </w:pPr>
      <w:r>
        <w:rPr>
          <w:b/>
          <w:sz w:val="22"/>
        </w:rPr>
        <w:t>Prepared by:</w:t>
        <w:br/>
      </w:r>
      <w:r>
        <w:rPr>
          <w:sz w:val="22"/>
        </w:rPr>
        <w:t>Development Engineering Team (Team G1384)</w:t>
        <w:br/>
      </w:r>
      <w:r>
        <w:rPr>
          <w:sz w:val="22"/>
        </w:rPr>
        <w:t>Department of Computer Science and Engineering</w:t>
        <w:br/>
      </w:r>
      <w:r>
        <w:rPr>
          <w:sz w:val="22"/>
        </w:rPr>
        <w:t>September 2026</w:t>
        <w:br/>
        <w:br/>
      </w:r>
    </w:p>
    <w:p>
      <w:pPr>
        <w:jc w:val="center"/>
      </w:pPr>
      <w:r>
        <w:rPr>
          <w:rFonts w:ascii="Arial" w:hAnsi="Arial"/>
          <w:i/>
          <w:color w:val="94A3B8"/>
          <w:sz w:val="17"/>
        </w:rPr>
        <w:t>IEEE Recommended Practice for Software Requirements Specifications (IEEE Std 830-1998 Format)</w:t>
        <w:br/>
        <w:t>Reference Framework based on Karl E. Wiegers Process Architecture</w:t>
      </w:r>
    </w:p>
    <w:p>
      <w:r>
        <w:br w:type="page"/>
      </w:r>
    </w:p>
    <w:p>
      <w:pPr>
        <w:keepNext/>
        <w:spacing w:before="320" w:after="120"/>
      </w:pPr>
      <w:r>
        <w:rPr>
          <w:rFonts w:ascii="Arial" w:hAnsi="Arial"/>
          <w:b/>
          <w:color w:val="0C2340"/>
          <w:sz w:val="32"/>
        </w:rPr>
        <w:t>Table of Contents</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4680"/>
        <w:gridCol w:w="4680"/>
      </w:tblGrid>
      <w:tr>
        <w:tc>
          <w:tcPr>
            <w:tcW w:type="dxa" w:w="7920"/>
          </w:tcPr>
          <w:p>
            <w:pPr>
              <w:spacing w:before="20" w:after="20"/>
            </w:pPr>
            <w:r>
              <w:rPr>
                <w:rFonts w:ascii="Arial" w:hAnsi="Arial"/>
                <w:b/>
                <w:color w:val="0C2340"/>
                <w:sz w:val="18"/>
              </w:rPr>
              <w:t>Table of Contents</w:t>
            </w:r>
          </w:p>
        </w:tc>
        <w:tc>
          <w:tcPr>
            <w:tcW w:type="dxa" w:w="1440"/>
          </w:tcPr>
          <w:p>
            <w:pPr>
              <w:spacing w:before="20" w:after="20"/>
              <w:jc w:val="right"/>
            </w:pPr>
            <w:r>
              <w:rPr>
                <w:rFonts w:ascii="Arial" w:hAnsi="Arial"/>
                <w:b/>
                <w:color w:val="0C2340"/>
                <w:sz w:val="18"/>
              </w:rPr>
              <w:t>ii</w:t>
            </w:r>
          </w:p>
        </w:tc>
      </w:tr>
      <w:tr>
        <w:tc>
          <w:tcPr>
            <w:tcW w:type="dxa" w:w="7920"/>
          </w:tcPr>
          <w:p>
            <w:pPr>
              <w:spacing w:before="20" w:after="20"/>
            </w:pPr>
            <w:r>
              <w:rPr>
                <w:rFonts w:ascii="Arial" w:hAnsi="Arial"/>
                <w:b/>
                <w:color w:val="0C2340"/>
                <w:sz w:val="18"/>
              </w:rPr>
              <w:t>Revision History</w:t>
            </w:r>
          </w:p>
        </w:tc>
        <w:tc>
          <w:tcPr>
            <w:tcW w:type="dxa" w:w="1440"/>
          </w:tcPr>
          <w:p>
            <w:pPr>
              <w:spacing w:before="20" w:after="20"/>
              <w:jc w:val="right"/>
            </w:pPr>
            <w:r>
              <w:rPr>
                <w:rFonts w:ascii="Arial" w:hAnsi="Arial"/>
                <w:b/>
                <w:color w:val="0C2340"/>
                <w:sz w:val="18"/>
              </w:rPr>
              <w:t>ii</w:t>
            </w:r>
          </w:p>
        </w:tc>
      </w:tr>
      <w:tr>
        <w:tc>
          <w:tcPr>
            <w:tcW w:type="dxa" w:w="7920"/>
          </w:tcPr>
          <w:p>
            <w:pPr>
              <w:spacing w:before="20" w:after="20"/>
            </w:pPr>
            <w:r>
              <w:rPr>
                <w:rFonts w:ascii="Arial" w:hAnsi="Arial"/>
                <w:b/>
                <w:color w:val="0C2340"/>
                <w:sz w:val="18"/>
              </w:rPr>
              <w:t>1. Introduction</w:t>
            </w:r>
          </w:p>
        </w:tc>
        <w:tc>
          <w:tcPr>
            <w:tcW w:type="dxa" w:w="1440"/>
          </w:tcPr>
          <w:p>
            <w:pPr>
              <w:spacing w:before="20" w:after="20"/>
              <w:jc w:val="right"/>
            </w:pPr>
            <w:r>
              <w:rPr>
                <w:rFonts w:ascii="Arial" w:hAnsi="Arial"/>
                <w:b/>
                <w:color w:val="0C2340"/>
                <w:sz w:val="18"/>
              </w:rPr>
              <w:t>1</w:t>
            </w:r>
          </w:p>
        </w:tc>
      </w:tr>
      <w:tr>
        <w:tc>
          <w:tcPr>
            <w:tcW w:type="dxa" w:w="7920"/>
          </w:tcPr>
          <w:p>
            <w:pPr>
              <w:spacing w:before="20" w:after="20"/>
            </w:pPr>
            <w:r>
              <w:rPr>
                <w:rFonts w:ascii="Arial" w:hAnsi="Arial"/>
                <w:color w:val="475569"/>
                <w:sz w:val="18"/>
              </w:rPr>
              <w:t xml:space="preserve">    1.1 Purpose</w:t>
            </w:r>
          </w:p>
        </w:tc>
        <w:tc>
          <w:tcPr>
            <w:tcW w:type="dxa" w:w="1440"/>
          </w:tcPr>
          <w:p>
            <w:pPr>
              <w:spacing w:before="20" w:after="20"/>
              <w:jc w:val="right"/>
            </w:pPr>
            <w:r>
              <w:rPr>
                <w:rFonts w:ascii="Arial" w:hAnsi="Arial"/>
                <w:color w:val="475569"/>
                <w:sz w:val="18"/>
              </w:rPr>
              <w:t>1</w:t>
            </w:r>
          </w:p>
        </w:tc>
      </w:tr>
      <w:tr>
        <w:tc>
          <w:tcPr>
            <w:tcW w:type="dxa" w:w="7920"/>
          </w:tcPr>
          <w:p>
            <w:pPr>
              <w:spacing w:before="20" w:after="20"/>
            </w:pPr>
            <w:r>
              <w:rPr>
                <w:rFonts w:ascii="Arial" w:hAnsi="Arial"/>
                <w:color w:val="475569"/>
                <w:sz w:val="18"/>
              </w:rPr>
              <w:t xml:space="preserve">    1.2 Document Conventions</w:t>
            </w:r>
          </w:p>
        </w:tc>
        <w:tc>
          <w:tcPr>
            <w:tcW w:type="dxa" w:w="1440"/>
          </w:tcPr>
          <w:p>
            <w:pPr>
              <w:spacing w:before="20" w:after="20"/>
              <w:jc w:val="right"/>
            </w:pPr>
            <w:r>
              <w:rPr>
                <w:rFonts w:ascii="Arial" w:hAnsi="Arial"/>
                <w:color w:val="475569"/>
                <w:sz w:val="18"/>
              </w:rPr>
              <w:t>1</w:t>
            </w:r>
          </w:p>
        </w:tc>
      </w:tr>
      <w:tr>
        <w:tc>
          <w:tcPr>
            <w:tcW w:type="dxa" w:w="7920"/>
          </w:tcPr>
          <w:p>
            <w:pPr>
              <w:spacing w:before="20" w:after="20"/>
            </w:pPr>
            <w:r>
              <w:rPr>
                <w:rFonts w:ascii="Arial" w:hAnsi="Arial"/>
                <w:color w:val="475569"/>
                <w:sz w:val="18"/>
              </w:rPr>
              <w:t xml:space="preserve">    1.3 Intended Audience and Reading Suggestions</w:t>
            </w:r>
          </w:p>
        </w:tc>
        <w:tc>
          <w:tcPr>
            <w:tcW w:type="dxa" w:w="1440"/>
          </w:tcPr>
          <w:p>
            <w:pPr>
              <w:spacing w:before="20" w:after="20"/>
              <w:jc w:val="right"/>
            </w:pPr>
            <w:r>
              <w:rPr>
                <w:rFonts w:ascii="Arial" w:hAnsi="Arial"/>
                <w:color w:val="475569"/>
                <w:sz w:val="18"/>
              </w:rPr>
              <w:t>1</w:t>
            </w:r>
          </w:p>
        </w:tc>
      </w:tr>
      <w:tr>
        <w:tc>
          <w:tcPr>
            <w:tcW w:type="dxa" w:w="7920"/>
          </w:tcPr>
          <w:p>
            <w:pPr>
              <w:spacing w:before="20" w:after="20"/>
            </w:pPr>
            <w:r>
              <w:rPr>
                <w:rFonts w:ascii="Arial" w:hAnsi="Arial"/>
                <w:color w:val="475569"/>
                <w:sz w:val="18"/>
              </w:rPr>
              <w:t xml:space="preserve">    1.4 Product Scope</w:t>
            </w:r>
          </w:p>
        </w:tc>
        <w:tc>
          <w:tcPr>
            <w:tcW w:type="dxa" w:w="1440"/>
          </w:tcPr>
          <w:p>
            <w:pPr>
              <w:spacing w:before="20" w:after="20"/>
              <w:jc w:val="right"/>
            </w:pPr>
            <w:r>
              <w:rPr>
                <w:rFonts w:ascii="Arial" w:hAnsi="Arial"/>
                <w:color w:val="475569"/>
                <w:sz w:val="18"/>
              </w:rPr>
              <w:t>2</w:t>
            </w:r>
          </w:p>
        </w:tc>
      </w:tr>
      <w:tr>
        <w:tc>
          <w:tcPr>
            <w:tcW w:type="dxa" w:w="7920"/>
          </w:tcPr>
          <w:p>
            <w:pPr>
              <w:spacing w:before="20" w:after="20"/>
            </w:pPr>
            <w:r>
              <w:rPr>
                <w:rFonts w:ascii="Arial" w:hAnsi="Arial"/>
                <w:color w:val="475569"/>
                <w:sz w:val="18"/>
              </w:rPr>
              <w:t xml:space="preserve">    1.5 References</w:t>
            </w:r>
          </w:p>
        </w:tc>
        <w:tc>
          <w:tcPr>
            <w:tcW w:type="dxa" w:w="1440"/>
          </w:tcPr>
          <w:p>
            <w:pPr>
              <w:spacing w:before="20" w:after="20"/>
              <w:jc w:val="right"/>
            </w:pPr>
            <w:r>
              <w:rPr>
                <w:rFonts w:ascii="Arial" w:hAnsi="Arial"/>
                <w:color w:val="475569"/>
                <w:sz w:val="18"/>
              </w:rPr>
              <w:t>2</w:t>
            </w:r>
          </w:p>
        </w:tc>
      </w:tr>
      <w:tr>
        <w:tc>
          <w:tcPr>
            <w:tcW w:type="dxa" w:w="7920"/>
          </w:tcPr>
          <w:p>
            <w:pPr>
              <w:spacing w:before="20" w:after="20"/>
            </w:pPr>
            <w:r>
              <w:rPr>
                <w:rFonts w:ascii="Arial" w:hAnsi="Arial"/>
                <w:b/>
                <w:color w:val="0C2340"/>
                <w:sz w:val="18"/>
              </w:rPr>
              <w:t>2. Overall Description</w:t>
            </w:r>
          </w:p>
        </w:tc>
        <w:tc>
          <w:tcPr>
            <w:tcW w:type="dxa" w:w="1440"/>
          </w:tcPr>
          <w:p>
            <w:pPr>
              <w:spacing w:before="20" w:after="20"/>
              <w:jc w:val="right"/>
            </w:pPr>
            <w:r>
              <w:rPr>
                <w:rFonts w:ascii="Arial" w:hAnsi="Arial"/>
                <w:b/>
                <w:color w:val="0C2340"/>
                <w:sz w:val="18"/>
              </w:rPr>
              <w:t>3</w:t>
            </w:r>
          </w:p>
        </w:tc>
      </w:tr>
      <w:tr>
        <w:tc>
          <w:tcPr>
            <w:tcW w:type="dxa" w:w="7920"/>
          </w:tcPr>
          <w:p>
            <w:pPr>
              <w:spacing w:before="20" w:after="20"/>
            </w:pPr>
            <w:r>
              <w:rPr>
                <w:rFonts w:ascii="Arial" w:hAnsi="Arial"/>
                <w:color w:val="475569"/>
                <w:sz w:val="18"/>
              </w:rPr>
              <w:t xml:space="preserve">    2.1 Product Perspective</w:t>
            </w:r>
          </w:p>
        </w:tc>
        <w:tc>
          <w:tcPr>
            <w:tcW w:type="dxa" w:w="1440"/>
          </w:tcPr>
          <w:p>
            <w:pPr>
              <w:spacing w:before="20" w:after="20"/>
              <w:jc w:val="right"/>
            </w:pPr>
            <w:r>
              <w:rPr>
                <w:rFonts w:ascii="Arial" w:hAnsi="Arial"/>
                <w:color w:val="475569"/>
                <w:sz w:val="18"/>
              </w:rPr>
              <w:t>3</w:t>
            </w:r>
          </w:p>
        </w:tc>
      </w:tr>
      <w:tr>
        <w:tc>
          <w:tcPr>
            <w:tcW w:type="dxa" w:w="7920"/>
          </w:tcPr>
          <w:p>
            <w:pPr>
              <w:spacing w:before="20" w:after="20"/>
            </w:pPr>
            <w:r>
              <w:rPr>
                <w:rFonts w:ascii="Arial" w:hAnsi="Arial"/>
                <w:color w:val="475569"/>
                <w:sz w:val="18"/>
              </w:rPr>
              <w:t xml:space="preserve">    2.2 Product Functions</w:t>
            </w:r>
          </w:p>
        </w:tc>
        <w:tc>
          <w:tcPr>
            <w:tcW w:type="dxa" w:w="1440"/>
          </w:tcPr>
          <w:p>
            <w:pPr>
              <w:spacing w:before="20" w:after="20"/>
              <w:jc w:val="right"/>
            </w:pPr>
            <w:r>
              <w:rPr>
                <w:rFonts w:ascii="Arial" w:hAnsi="Arial"/>
                <w:color w:val="475569"/>
                <w:sz w:val="18"/>
              </w:rPr>
              <w:t>3</w:t>
            </w:r>
          </w:p>
        </w:tc>
      </w:tr>
      <w:tr>
        <w:tc>
          <w:tcPr>
            <w:tcW w:type="dxa" w:w="7920"/>
          </w:tcPr>
          <w:p>
            <w:pPr>
              <w:spacing w:before="20" w:after="20"/>
            </w:pPr>
            <w:r>
              <w:rPr>
                <w:rFonts w:ascii="Arial" w:hAnsi="Arial"/>
                <w:color w:val="475569"/>
                <w:sz w:val="18"/>
              </w:rPr>
              <w:t xml:space="preserve">    2.3 User Classes and Characteristics</w:t>
            </w:r>
          </w:p>
        </w:tc>
        <w:tc>
          <w:tcPr>
            <w:tcW w:type="dxa" w:w="1440"/>
          </w:tcPr>
          <w:p>
            <w:pPr>
              <w:spacing w:before="20" w:after="20"/>
              <w:jc w:val="right"/>
            </w:pPr>
            <w:r>
              <w:rPr>
                <w:rFonts w:ascii="Arial" w:hAnsi="Arial"/>
                <w:color w:val="475569"/>
                <w:sz w:val="18"/>
              </w:rPr>
              <w:t>4</w:t>
            </w:r>
          </w:p>
        </w:tc>
      </w:tr>
      <w:tr>
        <w:tc>
          <w:tcPr>
            <w:tcW w:type="dxa" w:w="7920"/>
          </w:tcPr>
          <w:p>
            <w:pPr>
              <w:spacing w:before="20" w:after="20"/>
            </w:pPr>
            <w:r>
              <w:rPr>
                <w:rFonts w:ascii="Arial" w:hAnsi="Arial"/>
                <w:color w:val="475569"/>
                <w:sz w:val="18"/>
              </w:rPr>
              <w:t xml:space="preserve">    2.4 Operating Environment</w:t>
            </w:r>
          </w:p>
        </w:tc>
        <w:tc>
          <w:tcPr>
            <w:tcW w:type="dxa" w:w="1440"/>
          </w:tcPr>
          <w:p>
            <w:pPr>
              <w:spacing w:before="20" w:after="20"/>
              <w:jc w:val="right"/>
            </w:pPr>
            <w:r>
              <w:rPr>
                <w:rFonts w:ascii="Arial" w:hAnsi="Arial"/>
                <w:color w:val="475569"/>
                <w:sz w:val="18"/>
              </w:rPr>
              <w:t>4</w:t>
            </w:r>
          </w:p>
        </w:tc>
      </w:tr>
      <w:tr>
        <w:tc>
          <w:tcPr>
            <w:tcW w:type="dxa" w:w="7920"/>
          </w:tcPr>
          <w:p>
            <w:pPr>
              <w:spacing w:before="20" w:after="20"/>
            </w:pPr>
            <w:r>
              <w:rPr>
                <w:rFonts w:ascii="Arial" w:hAnsi="Arial"/>
                <w:color w:val="475569"/>
                <w:sz w:val="18"/>
              </w:rPr>
              <w:t xml:space="preserve">    2.5 Design and Implementation Constraints</w:t>
            </w:r>
          </w:p>
        </w:tc>
        <w:tc>
          <w:tcPr>
            <w:tcW w:type="dxa" w:w="1440"/>
          </w:tcPr>
          <w:p>
            <w:pPr>
              <w:spacing w:before="20" w:after="20"/>
              <w:jc w:val="right"/>
            </w:pPr>
            <w:r>
              <w:rPr>
                <w:rFonts w:ascii="Arial" w:hAnsi="Arial"/>
                <w:color w:val="475569"/>
                <w:sz w:val="18"/>
              </w:rPr>
              <w:t>5</w:t>
            </w:r>
          </w:p>
        </w:tc>
      </w:tr>
      <w:tr>
        <w:tc>
          <w:tcPr>
            <w:tcW w:type="dxa" w:w="7920"/>
          </w:tcPr>
          <w:p>
            <w:pPr>
              <w:spacing w:before="20" w:after="20"/>
            </w:pPr>
            <w:r>
              <w:rPr>
                <w:rFonts w:ascii="Arial" w:hAnsi="Arial"/>
                <w:color w:val="475569"/>
                <w:sz w:val="18"/>
              </w:rPr>
              <w:t xml:space="preserve">    2.6 User Documentation</w:t>
            </w:r>
          </w:p>
        </w:tc>
        <w:tc>
          <w:tcPr>
            <w:tcW w:type="dxa" w:w="1440"/>
          </w:tcPr>
          <w:p>
            <w:pPr>
              <w:spacing w:before="20" w:after="20"/>
              <w:jc w:val="right"/>
            </w:pPr>
            <w:r>
              <w:rPr>
                <w:rFonts w:ascii="Arial" w:hAnsi="Arial"/>
                <w:color w:val="475569"/>
                <w:sz w:val="18"/>
              </w:rPr>
              <w:t>5</w:t>
            </w:r>
          </w:p>
        </w:tc>
      </w:tr>
      <w:tr>
        <w:tc>
          <w:tcPr>
            <w:tcW w:type="dxa" w:w="7920"/>
          </w:tcPr>
          <w:p>
            <w:pPr>
              <w:spacing w:before="20" w:after="20"/>
            </w:pPr>
            <w:r>
              <w:rPr>
                <w:rFonts w:ascii="Arial" w:hAnsi="Arial"/>
                <w:color w:val="475569"/>
                <w:sz w:val="18"/>
              </w:rPr>
              <w:t xml:space="preserve">    2.7 Assumptions and Dependencies</w:t>
            </w:r>
          </w:p>
        </w:tc>
        <w:tc>
          <w:tcPr>
            <w:tcW w:type="dxa" w:w="1440"/>
          </w:tcPr>
          <w:p>
            <w:pPr>
              <w:spacing w:before="20" w:after="20"/>
              <w:jc w:val="right"/>
            </w:pPr>
            <w:r>
              <w:rPr>
                <w:rFonts w:ascii="Arial" w:hAnsi="Arial"/>
                <w:color w:val="475569"/>
                <w:sz w:val="18"/>
              </w:rPr>
              <w:t>5</w:t>
            </w:r>
          </w:p>
        </w:tc>
      </w:tr>
      <w:tr>
        <w:tc>
          <w:tcPr>
            <w:tcW w:type="dxa" w:w="7920"/>
          </w:tcPr>
          <w:p>
            <w:pPr>
              <w:spacing w:before="20" w:after="20"/>
            </w:pPr>
            <w:r>
              <w:rPr>
                <w:rFonts w:ascii="Arial" w:hAnsi="Arial"/>
                <w:b/>
                <w:color w:val="0C2340"/>
                <w:sz w:val="18"/>
              </w:rPr>
              <w:t>3. External Interface Requirements</w:t>
            </w:r>
          </w:p>
        </w:tc>
        <w:tc>
          <w:tcPr>
            <w:tcW w:type="dxa" w:w="1440"/>
          </w:tcPr>
          <w:p>
            <w:pPr>
              <w:spacing w:before="20" w:after="20"/>
              <w:jc w:val="right"/>
            </w:pPr>
            <w:r>
              <w:rPr>
                <w:rFonts w:ascii="Arial" w:hAnsi="Arial"/>
                <w:b/>
                <w:color w:val="0C2340"/>
                <w:sz w:val="18"/>
              </w:rPr>
              <w:t>6</w:t>
            </w:r>
          </w:p>
        </w:tc>
      </w:tr>
      <w:tr>
        <w:tc>
          <w:tcPr>
            <w:tcW w:type="dxa" w:w="7920"/>
          </w:tcPr>
          <w:p>
            <w:pPr>
              <w:spacing w:before="20" w:after="20"/>
            </w:pPr>
            <w:r>
              <w:rPr>
                <w:rFonts w:ascii="Arial" w:hAnsi="Arial"/>
                <w:color w:val="475569"/>
                <w:sz w:val="18"/>
              </w:rPr>
              <w:t xml:space="preserve">    3.1 User Interfaces</w:t>
            </w:r>
          </w:p>
        </w:tc>
        <w:tc>
          <w:tcPr>
            <w:tcW w:type="dxa" w:w="1440"/>
          </w:tcPr>
          <w:p>
            <w:pPr>
              <w:spacing w:before="20" w:after="20"/>
              <w:jc w:val="right"/>
            </w:pPr>
            <w:r>
              <w:rPr>
                <w:rFonts w:ascii="Arial" w:hAnsi="Arial"/>
                <w:color w:val="475569"/>
                <w:sz w:val="18"/>
              </w:rPr>
              <w:t>6</w:t>
            </w:r>
          </w:p>
        </w:tc>
      </w:tr>
      <w:tr>
        <w:tc>
          <w:tcPr>
            <w:tcW w:type="dxa" w:w="7920"/>
          </w:tcPr>
          <w:p>
            <w:pPr>
              <w:spacing w:before="20" w:after="20"/>
            </w:pPr>
            <w:r>
              <w:rPr>
                <w:rFonts w:ascii="Arial" w:hAnsi="Arial"/>
                <w:color w:val="475569"/>
                <w:sz w:val="18"/>
              </w:rPr>
              <w:t xml:space="preserve">    3.2 Hardware Interfaces</w:t>
            </w:r>
          </w:p>
        </w:tc>
        <w:tc>
          <w:tcPr>
            <w:tcW w:type="dxa" w:w="1440"/>
          </w:tcPr>
          <w:p>
            <w:pPr>
              <w:spacing w:before="20" w:after="20"/>
              <w:jc w:val="right"/>
            </w:pPr>
            <w:r>
              <w:rPr>
                <w:rFonts w:ascii="Arial" w:hAnsi="Arial"/>
                <w:color w:val="475569"/>
                <w:sz w:val="18"/>
              </w:rPr>
              <w:t>7</w:t>
            </w:r>
          </w:p>
        </w:tc>
      </w:tr>
      <w:tr>
        <w:tc>
          <w:tcPr>
            <w:tcW w:type="dxa" w:w="7920"/>
          </w:tcPr>
          <w:p>
            <w:pPr>
              <w:spacing w:before="20" w:after="20"/>
            </w:pPr>
            <w:r>
              <w:rPr>
                <w:rFonts w:ascii="Arial" w:hAnsi="Arial"/>
                <w:color w:val="475569"/>
                <w:sz w:val="18"/>
              </w:rPr>
              <w:t xml:space="preserve">    3.3 Software Interfaces</w:t>
            </w:r>
          </w:p>
        </w:tc>
        <w:tc>
          <w:tcPr>
            <w:tcW w:type="dxa" w:w="1440"/>
          </w:tcPr>
          <w:p>
            <w:pPr>
              <w:spacing w:before="20" w:after="20"/>
              <w:jc w:val="right"/>
            </w:pPr>
            <w:r>
              <w:rPr>
                <w:rFonts w:ascii="Arial" w:hAnsi="Arial"/>
                <w:color w:val="475569"/>
                <w:sz w:val="18"/>
              </w:rPr>
              <w:t>7</w:t>
            </w:r>
          </w:p>
        </w:tc>
      </w:tr>
      <w:tr>
        <w:tc>
          <w:tcPr>
            <w:tcW w:type="dxa" w:w="7920"/>
          </w:tcPr>
          <w:p>
            <w:pPr>
              <w:spacing w:before="20" w:after="20"/>
            </w:pPr>
            <w:r>
              <w:rPr>
                <w:rFonts w:ascii="Arial" w:hAnsi="Arial"/>
                <w:color w:val="475569"/>
                <w:sz w:val="18"/>
              </w:rPr>
              <w:t xml:space="preserve">    3.4 Communications Interfaces</w:t>
            </w:r>
          </w:p>
        </w:tc>
        <w:tc>
          <w:tcPr>
            <w:tcW w:type="dxa" w:w="1440"/>
          </w:tcPr>
          <w:p>
            <w:pPr>
              <w:spacing w:before="20" w:after="20"/>
              <w:jc w:val="right"/>
            </w:pPr>
            <w:r>
              <w:rPr>
                <w:rFonts w:ascii="Arial" w:hAnsi="Arial"/>
                <w:color w:val="475569"/>
                <w:sz w:val="18"/>
              </w:rPr>
              <w:t>8</w:t>
            </w:r>
          </w:p>
        </w:tc>
      </w:tr>
      <w:tr>
        <w:tc>
          <w:tcPr>
            <w:tcW w:type="dxa" w:w="7920"/>
          </w:tcPr>
          <w:p>
            <w:pPr>
              <w:spacing w:before="20" w:after="20"/>
            </w:pPr>
            <w:r>
              <w:rPr>
                <w:rFonts w:ascii="Arial" w:hAnsi="Arial"/>
                <w:b/>
                <w:color w:val="0C2340"/>
                <w:sz w:val="18"/>
              </w:rPr>
              <w:t>4. System Features</w:t>
            </w:r>
          </w:p>
        </w:tc>
        <w:tc>
          <w:tcPr>
            <w:tcW w:type="dxa" w:w="1440"/>
          </w:tcPr>
          <w:p>
            <w:pPr>
              <w:spacing w:before="20" w:after="20"/>
              <w:jc w:val="right"/>
            </w:pPr>
            <w:r>
              <w:rPr>
                <w:rFonts w:ascii="Arial" w:hAnsi="Arial"/>
                <w:b/>
                <w:color w:val="0C2340"/>
                <w:sz w:val="18"/>
              </w:rPr>
              <w:t>9</w:t>
            </w:r>
          </w:p>
        </w:tc>
      </w:tr>
      <w:tr>
        <w:tc>
          <w:tcPr>
            <w:tcW w:type="dxa" w:w="7920"/>
          </w:tcPr>
          <w:p>
            <w:pPr>
              <w:spacing w:before="20" w:after="20"/>
            </w:pPr>
            <w:r>
              <w:rPr>
                <w:rFonts w:ascii="Arial" w:hAnsi="Arial"/>
                <w:color w:val="475569"/>
                <w:sz w:val="18"/>
              </w:rPr>
              <w:t xml:space="preserve">    4.1 Deep Learning Marine Debris &amp; Biodiversity Inference</w:t>
            </w:r>
          </w:p>
        </w:tc>
        <w:tc>
          <w:tcPr>
            <w:tcW w:type="dxa" w:w="1440"/>
          </w:tcPr>
          <w:p>
            <w:pPr>
              <w:spacing w:before="20" w:after="20"/>
              <w:jc w:val="right"/>
            </w:pPr>
            <w:r>
              <w:rPr>
                <w:rFonts w:ascii="Arial" w:hAnsi="Arial"/>
                <w:color w:val="475569"/>
                <w:sz w:val="18"/>
              </w:rPr>
              <w:t>9</w:t>
            </w:r>
          </w:p>
        </w:tc>
      </w:tr>
      <w:tr>
        <w:tc>
          <w:tcPr>
            <w:tcW w:type="dxa" w:w="7920"/>
          </w:tcPr>
          <w:p>
            <w:pPr>
              <w:spacing w:before="20" w:after="20"/>
            </w:pPr>
            <w:r>
              <w:rPr>
                <w:rFonts w:ascii="Arial" w:hAnsi="Arial"/>
                <w:color w:val="475569"/>
                <w:sz w:val="18"/>
              </w:rPr>
              <w:t xml:space="preserve">    4.2 Interactive Spatial Annotation &amp; Threat Meter Visualization</w:t>
            </w:r>
          </w:p>
        </w:tc>
        <w:tc>
          <w:tcPr>
            <w:tcW w:type="dxa" w:w="1440"/>
          </w:tcPr>
          <w:p>
            <w:pPr>
              <w:spacing w:before="20" w:after="20"/>
              <w:jc w:val="right"/>
            </w:pPr>
            <w:r>
              <w:rPr>
                <w:rFonts w:ascii="Arial" w:hAnsi="Arial"/>
                <w:color w:val="475569"/>
                <w:sz w:val="18"/>
              </w:rPr>
              <w:t>11</w:t>
            </w:r>
          </w:p>
        </w:tc>
      </w:tr>
      <w:tr>
        <w:tc>
          <w:tcPr>
            <w:tcW w:type="dxa" w:w="7920"/>
          </w:tcPr>
          <w:p>
            <w:pPr>
              <w:spacing w:before="20" w:after="20"/>
            </w:pPr>
            <w:r>
              <w:rPr>
                <w:rFonts w:ascii="Arial" w:hAnsi="Arial"/>
                <w:color w:val="475569"/>
                <w:sz w:val="18"/>
              </w:rPr>
              <w:t xml:space="preserve">    4.3 Geofencing &amp; Spatial-Relational Audit Persistence</w:t>
            </w:r>
          </w:p>
        </w:tc>
        <w:tc>
          <w:tcPr>
            <w:tcW w:type="dxa" w:w="1440"/>
          </w:tcPr>
          <w:p>
            <w:pPr>
              <w:spacing w:before="20" w:after="20"/>
              <w:jc w:val="right"/>
            </w:pPr>
            <w:r>
              <w:rPr>
                <w:rFonts w:ascii="Arial" w:hAnsi="Arial"/>
                <w:color w:val="475569"/>
                <w:sz w:val="18"/>
              </w:rPr>
              <w:t>12</w:t>
            </w:r>
          </w:p>
        </w:tc>
      </w:tr>
      <w:tr>
        <w:tc>
          <w:tcPr>
            <w:tcW w:type="dxa" w:w="7920"/>
          </w:tcPr>
          <w:p>
            <w:pPr>
              <w:spacing w:before="20" w:after="20"/>
            </w:pPr>
            <w:r>
              <w:rPr>
                <w:rFonts w:ascii="Arial" w:hAnsi="Arial"/>
                <w:color w:val="475569"/>
                <w:sz w:val="18"/>
              </w:rPr>
              <w:t xml:space="preserve">    4.4 Ecological Risk Assessment &amp; Formal PDF Audit Export</w:t>
            </w:r>
          </w:p>
        </w:tc>
        <w:tc>
          <w:tcPr>
            <w:tcW w:type="dxa" w:w="1440"/>
          </w:tcPr>
          <w:p>
            <w:pPr>
              <w:spacing w:before="20" w:after="20"/>
              <w:jc w:val="right"/>
            </w:pPr>
            <w:r>
              <w:rPr>
                <w:rFonts w:ascii="Arial" w:hAnsi="Arial"/>
                <w:color w:val="475569"/>
                <w:sz w:val="18"/>
              </w:rPr>
              <w:t>14</w:t>
            </w:r>
          </w:p>
        </w:tc>
      </w:tr>
      <w:tr>
        <w:tc>
          <w:tcPr>
            <w:tcW w:type="dxa" w:w="7920"/>
          </w:tcPr>
          <w:p>
            <w:pPr>
              <w:spacing w:before="20" w:after="20"/>
            </w:pPr>
            <w:r>
              <w:rPr>
                <w:rFonts w:ascii="Arial" w:hAnsi="Arial"/>
                <w:color w:val="475569"/>
                <w:sz w:val="18"/>
              </w:rPr>
              <w:t xml:space="preserve">    4.5 Historical Scan Ingestion &amp; Aggregate Analytics</w:t>
            </w:r>
          </w:p>
        </w:tc>
        <w:tc>
          <w:tcPr>
            <w:tcW w:type="dxa" w:w="1440"/>
          </w:tcPr>
          <w:p>
            <w:pPr>
              <w:spacing w:before="20" w:after="20"/>
              <w:jc w:val="right"/>
            </w:pPr>
            <w:r>
              <w:rPr>
                <w:rFonts w:ascii="Arial" w:hAnsi="Arial"/>
                <w:color w:val="475569"/>
                <w:sz w:val="18"/>
              </w:rPr>
              <w:t>15</w:t>
            </w:r>
          </w:p>
        </w:tc>
      </w:tr>
      <w:tr>
        <w:tc>
          <w:tcPr>
            <w:tcW w:type="dxa" w:w="7920"/>
          </w:tcPr>
          <w:p>
            <w:pPr>
              <w:spacing w:before="20" w:after="20"/>
            </w:pPr>
            <w:r>
              <w:rPr>
                <w:rFonts w:ascii="Arial" w:hAnsi="Arial"/>
                <w:b/>
                <w:color w:val="0C2340"/>
                <w:sz w:val="18"/>
              </w:rPr>
              <w:t>5. Other Nonfunctional Requirements</w:t>
            </w:r>
          </w:p>
        </w:tc>
        <w:tc>
          <w:tcPr>
            <w:tcW w:type="dxa" w:w="1440"/>
          </w:tcPr>
          <w:p>
            <w:pPr>
              <w:spacing w:before="20" w:after="20"/>
              <w:jc w:val="right"/>
            </w:pPr>
            <w:r>
              <w:rPr>
                <w:rFonts w:ascii="Arial" w:hAnsi="Arial"/>
                <w:b/>
                <w:color w:val="0C2340"/>
                <w:sz w:val="18"/>
              </w:rPr>
              <w:t>17</w:t>
            </w:r>
          </w:p>
        </w:tc>
      </w:tr>
      <w:tr>
        <w:tc>
          <w:tcPr>
            <w:tcW w:type="dxa" w:w="7920"/>
          </w:tcPr>
          <w:p>
            <w:pPr>
              <w:spacing w:before="20" w:after="20"/>
            </w:pPr>
            <w:r>
              <w:rPr>
                <w:rFonts w:ascii="Arial" w:hAnsi="Arial"/>
                <w:color w:val="475569"/>
                <w:sz w:val="18"/>
              </w:rPr>
              <w:t xml:space="preserve">    5.1 Performance Requirements</w:t>
            </w:r>
          </w:p>
        </w:tc>
        <w:tc>
          <w:tcPr>
            <w:tcW w:type="dxa" w:w="1440"/>
          </w:tcPr>
          <w:p>
            <w:pPr>
              <w:spacing w:before="20" w:after="20"/>
              <w:jc w:val="right"/>
            </w:pPr>
            <w:r>
              <w:rPr>
                <w:rFonts w:ascii="Arial" w:hAnsi="Arial"/>
                <w:color w:val="475569"/>
                <w:sz w:val="18"/>
              </w:rPr>
              <w:t>17</w:t>
            </w:r>
          </w:p>
        </w:tc>
      </w:tr>
      <w:tr>
        <w:tc>
          <w:tcPr>
            <w:tcW w:type="dxa" w:w="7920"/>
          </w:tcPr>
          <w:p>
            <w:pPr>
              <w:spacing w:before="20" w:after="20"/>
            </w:pPr>
            <w:r>
              <w:rPr>
                <w:rFonts w:ascii="Arial" w:hAnsi="Arial"/>
                <w:color w:val="475569"/>
                <w:sz w:val="18"/>
              </w:rPr>
              <w:t xml:space="preserve">    5.2 Safety Requirements</w:t>
            </w:r>
          </w:p>
        </w:tc>
        <w:tc>
          <w:tcPr>
            <w:tcW w:type="dxa" w:w="1440"/>
          </w:tcPr>
          <w:p>
            <w:pPr>
              <w:spacing w:before="20" w:after="20"/>
              <w:jc w:val="right"/>
            </w:pPr>
            <w:r>
              <w:rPr>
                <w:rFonts w:ascii="Arial" w:hAnsi="Arial"/>
                <w:color w:val="475569"/>
                <w:sz w:val="18"/>
              </w:rPr>
              <w:t>17</w:t>
            </w:r>
          </w:p>
        </w:tc>
      </w:tr>
      <w:tr>
        <w:tc>
          <w:tcPr>
            <w:tcW w:type="dxa" w:w="7920"/>
          </w:tcPr>
          <w:p>
            <w:pPr>
              <w:spacing w:before="20" w:after="20"/>
            </w:pPr>
            <w:r>
              <w:rPr>
                <w:rFonts w:ascii="Arial" w:hAnsi="Arial"/>
                <w:color w:val="475569"/>
                <w:sz w:val="18"/>
              </w:rPr>
              <w:t xml:space="preserve">    5.3 Security Requirements</w:t>
            </w:r>
          </w:p>
        </w:tc>
        <w:tc>
          <w:tcPr>
            <w:tcW w:type="dxa" w:w="1440"/>
          </w:tcPr>
          <w:p>
            <w:pPr>
              <w:spacing w:before="20" w:after="20"/>
              <w:jc w:val="right"/>
            </w:pPr>
            <w:r>
              <w:rPr>
                <w:rFonts w:ascii="Arial" w:hAnsi="Arial"/>
                <w:color w:val="475569"/>
                <w:sz w:val="18"/>
              </w:rPr>
              <w:t>18</w:t>
            </w:r>
          </w:p>
        </w:tc>
      </w:tr>
      <w:tr>
        <w:tc>
          <w:tcPr>
            <w:tcW w:type="dxa" w:w="7920"/>
          </w:tcPr>
          <w:p>
            <w:pPr>
              <w:spacing w:before="20" w:after="20"/>
            </w:pPr>
            <w:r>
              <w:rPr>
                <w:rFonts w:ascii="Arial" w:hAnsi="Arial"/>
                <w:color w:val="475569"/>
                <w:sz w:val="18"/>
              </w:rPr>
              <w:t xml:space="preserve">    5.4 Software Quality Attributes</w:t>
            </w:r>
          </w:p>
        </w:tc>
        <w:tc>
          <w:tcPr>
            <w:tcW w:type="dxa" w:w="1440"/>
          </w:tcPr>
          <w:p>
            <w:pPr>
              <w:spacing w:before="20" w:after="20"/>
              <w:jc w:val="right"/>
            </w:pPr>
            <w:r>
              <w:rPr>
                <w:rFonts w:ascii="Arial" w:hAnsi="Arial"/>
                <w:color w:val="475569"/>
                <w:sz w:val="18"/>
              </w:rPr>
              <w:t>18</w:t>
            </w:r>
          </w:p>
        </w:tc>
      </w:tr>
      <w:tr>
        <w:tc>
          <w:tcPr>
            <w:tcW w:type="dxa" w:w="7920"/>
          </w:tcPr>
          <w:p>
            <w:pPr>
              <w:spacing w:before="20" w:after="20"/>
            </w:pPr>
            <w:r>
              <w:rPr>
                <w:rFonts w:ascii="Arial" w:hAnsi="Arial"/>
                <w:color w:val="475569"/>
                <w:sz w:val="18"/>
              </w:rPr>
              <w:t xml:space="preserve">    5.5 Business Rules</w:t>
            </w:r>
          </w:p>
        </w:tc>
        <w:tc>
          <w:tcPr>
            <w:tcW w:type="dxa" w:w="1440"/>
          </w:tcPr>
          <w:p>
            <w:pPr>
              <w:spacing w:before="20" w:after="20"/>
              <w:jc w:val="right"/>
            </w:pPr>
            <w:r>
              <w:rPr>
                <w:rFonts w:ascii="Arial" w:hAnsi="Arial"/>
                <w:color w:val="475569"/>
                <w:sz w:val="18"/>
              </w:rPr>
              <w:t>19</w:t>
            </w:r>
          </w:p>
        </w:tc>
      </w:tr>
      <w:tr>
        <w:tc>
          <w:tcPr>
            <w:tcW w:type="dxa" w:w="7920"/>
          </w:tcPr>
          <w:p>
            <w:pPr>
              <w:spacing w:before="20" w:after="20"/>
            </w:pPr>
            <w:r>
              <w:rPr>
                <w:rFonts w:ascii="Arial" w:hAnsi="Arial"/>
                <w:b/>
                <w:color w:val="0C2340"/>
                <w:sz w:val="18"/>
              </w:rPr>
              <w:t>6. Other Requirements</w:t>
            </w:r>
          </w:p>
        </w:tc>
        <w:tc>
          <w:tcPr>
            <w:tcW w:type="dxa" w:w="1440"/>
          </w:tcPr>
          <w:p>
            <w:pPr>
              <w:spacing w:before="20" w:after="20"/>
              <w:jc w:val="right"/>
            </w:pPr>
            <w:r>
              <w:rPr>
                <w:rFonts w:ascii="Arial" w:hAnsi="Arial"/>
                <w:b/>
                <w:color w:val="0C2340"/>
                <w:sz w:val="18"/>
              </w:rPr>
              <w:t>20</w:t>
            </w:r>
          </w:p>
        </w:tc>
      </w:tr>
      <w:tr>
        <w:tc>
          <w:tcPr>
            <w:tcW w:type="dxa" w:w="7920"/>
          </w:tcPr>
          <w:p>
            <w:pPr>
              <w:spacing w:before="20" w:after="20"/>
            </w:pPr>
            <w:r>
              <w:rPr>
                <w:rFonts w:ascii="Arial" w:hAnsi="Arial"/>
                <w:color w:val="475569"/>
                <w:sz w:val="18"/>
              </w:rPr>
              <w:t xml:space="preserve">    6.1 Database &amp; Vector Indexing Requirements</w:t>
            </w:r>
          </w:p>
        </w:tc>
        <w:tc>
          <w:tcPr>
            <w:tcW w:type="dxa" w:w="1440"/>
          </w:tcPr>
          <w:p>
            <w:pPr>
              <w:spacing w:before="20" w:after="20"/>
              <w:jc w:val="right"/>
            </w:pPr>
            <w:r>
              <w:rPr>
                <w:rFonts w:ascii="Arial" w:hAnsi="Arial"/>
                <w:color w:val="475569"/>
                <w:sz w:val="18"/>
              </w:rPr>
              <w:t>20</w:t>
            </w:r>
          </w:p>
        </w:tc>
      </w:tr>
      <w:tr>
        <w:tc>
          <w:tcPr>
            <w:tcW w:type="dxa" w:w="7920"/>
          </w:tcPr>
          <w:p>
            <w:pPr>
              <w:spacing w:before="20" w:after="20"/>
            </w:pPr>
            <w:r>
              <w:rPr>
                <w:rFonts w:ascii="Arial" w:hAnsi="Arial"/>
                <w:color w:val="475569"/>
                <w:sz w:val="18"/>
              </w:rPr>
              <w:t xml:space="preserve">    6.2 Environmental &amp; Regulatory Compliance</w:t>
            </w:r>
          </w:p>
        </w:tc>
        <w:tc>
          <w:tcPr>
            <w:tcW w:type="dxa" w:w="1440"/>
          </w:tcPr>
          <w:p>
            <w:pPr>
              <w:spacing w:before="20" w:after="20"/>
              <w:jc w:val="right"/>
            </w:pPr>
            <w:r>
              <w:rPr>
                <w:rFonts w:ascii="Arial" w:hAnsi="Arial"/>
                <w:color w:val="475569"/>
                <w:sz w:val="18"/>
              </w:rPr>
              <w:t>20</w:t>
            </w:r>
          </w:p>
        </w:tc>
      </w:tr>
      <w:tr>
        <w:tc>
          <w:tcPr>
            <w:tcW w:type="dxa" w:w="7920"/>
          </w:tcPr>
          <w:p>
            <w:pPr>
              <w:spacing w:before="20" w:after="20"/>
            </w:pPr>
            <w:r>
              <w:rPr>
                <w:rFonts w:ascii="Arial" w:hAnsi="Arial"/>
                <w:color w:val="475569"/>
                <w:sz w:val="18"/>
              </w:rPr>
              <w:t xml:space="preserve">    6.3 Deployment &amp; Containerization Architecture</w:t>
            </w:r>
          </w:p>
        </w:tc>
        <w:tc>
          <w:tcPr>
            <w:tcW w:type="dxa" w:w="1440"/>
          </w:tcPr>
          <w:p>
            <w:pPr>
              <w:spacing w:before="20" w:after="20"/>
              <w:jc w:val="right"/>
            </w:pPr>
            <w:r>
              <w:rPr>
                <w:rFonts w:ascii="Arial" w:hAnsi="Arial"/>
                <w:color w:val="475569"/>
                <w:sz w:val="18"/>
              </w:rPr>
              <w:t>20</w:t>
            </w:r>
          </w:p>
        </w:tc>
      </w:tr>
      <w:tr>
        <w:tc>
          <w:tcPr>
            <w:tcW w:type="dxa" w:w="7920"/>
          </w:tcPr>
          <w:p>
            <w:pPr>
              <w:spacing w:before="20" w:after="20"/>
            </w:pPr>
            <w:r>
              <w:rPr>
                <w:rFonts w:ascii="Arial" w:hAnsi="Arial"/>
                <w:b/>
                <w:color w:val="0C2340"/>
                <w:sz w:val="18"/>
              </w:rPr>
              <w:t>Appendix A: Glossary</w:t>
            </w:r>
          </w:p>
        </w:tc>
        <w:tc>
          <w:tcPr>
            <w:tcW w:type="dxa" w:w="1440"/>
          </w:tcPr>
          <w:p>
            <w:pPr>
              <w:spacing w:before="20" w:after="20"/>
              <w:jc w:val="right"/>
            </w:pPr>
            <w:r>
              <w:rPr>
                <w:rFonts w:ascii="Arial" w:hAnsi="Arial"/>
                <w:b/>
                <w:color w:val="0C2340"/>
                <w:sz w:val="18"/>
              </w:rPr>
              <w:t>21</w:t>
            </w:r>
          </w:p>
        </w:tc>
      </w:tr>
      <w:tr>
        <w:tc>
          <w:tcPr>
            <w:tcW w:type="dxa" w:w="7920"/>
          </w:tcPr>
          <w:p>
            <w:pPr>
              <w:spacing w:before="20" w:after="20"/>
            </w:pPr>
            <w:r>
              <w:rPr>
                <w:rFonts w:ascii="Arial" w:hAnsi="Arial"/>
                <w:b/>
                <w:color w:val="0C2340"/>
                <w:sz w:val="18"/>
              </w:rPr>
              <w:t>Appendix B: Analysis Models</w:t>
            </w:r>
          </w:p>
        </w:tc>
        <w:tc>
          <w:tcPr>
            <w:tcW w:type="dxa" w:w="1440"/>
          </w:tcPr>
          <w:p>
            <w:pPr>
              <w:spacing w:before="20" w:after="20"/>
              <w:jc w:val="right"/>
            </w:pPr>
            <w:r>
              <w:rPr>
                <w:rFonts w:ascii="Arial" w:hAnsi="Arial"/>
                <w:b/>
                <w:color w:val="0C2340"/>
                <w:sz w:val="18"/>
              </w:rPr>
              <w:t>22</w:t>
            </w:r>
          </w:p>
        </w:tc>
      </w:tr>
      <w:tr>
        <w:tc>
          <w:tcPr>
            <w:tcW w:type="dxa" w:w="7920"/>
          </w:tcPr>
          <w:p>
            <w:pPr>
              <w:spacing w:before="20" w:after="20"/>
            </w:pPr>
            <w:r>
              <w:rPr>
                <w:rFonts w:ascii="Arial" w:hAnsi="Arial"/>
                <w:color w:val="475569"/>
                <w:sz w:val="18"/>
              </w:rPr>
              <w:t xml:space="preserve">    B.1 System Context &amp; Architecture Diagram</w:t>
            </w:r>
          </w:p>
        </w:tc>
        <w:tc>
          <w:tcPr>
            <w:tcW w:type="dxa" w:w="1440"/>
          </w:tcPr>
          <w:p>
            <w:pPr>
              <w:spacing w:before="20" w:after="20"/>
              <w:jc w:val="right"/>
            </w:pPr>
            <w:r>
              <w:rPr>
                <w:rFonts w:ascii="Arial" w:hAnsi="Arial"/>
                <w:color w:val="475569"/>
                <w:sz w:val="18"/>
              </w:rPr>
              <w:t>22</w:t>
            </w:r>
          </w:p>
        </w:tc>
      </w:tr>
      <w:tr>
        <w:tc>
          <w:tcPr>
            <w:tcW w:type="dxa" w:w="7920"/>
          </w:tcPr>
          <w:p>
            <w:pPr>
              <w:spacing w:before="20" w:after="20"/>
            </w:pPr>
            <w:r>
              <w:rPr>
                <w:rFonts w:ascii="Arial" w:hAnsi="Arial"/>
                <w:color w:val="475569"/>
                <w:sz w:val="18"/>
              </w:rPr>
              <w:t xml:space="preserve">    B.2 Data Flow Diagrams (DFD Level 0 &amp; Level 1)</w:t>
            </w:r>
          </w:p>
        </w:tc>
        <w:tc>
          <w:tcPr>
            <w:tcW w:type="dxa" w:w="1440"/>
          </w:tcPr>
          <w:p>
            <w:pPr>
              <w:spacing w:before="20" w:after="20"/>
              <w:jc w:val="right"/>
            </w:pPr>
            <w:r>
              <w:rPr>
                <w:rFonts w:ascii="Arial" w:hAnsi="Arial"/>
                <w:color w:val="475569"/>
                <w:sz w:val="18"/>
              </w:rPr>
              <w:t>22</w:t>
            </w:r>
          </w:p>
        </w:tc>
      </w:tr>
      <w:tr>
        <w:tc>
          <w:tcPr>
            <w:tcW w:type="dxa" w:w="7920"/>
          </w:tcPr>
          <w:p>
            <w:pPr>
              <w:spacing w:before="20" w:after="20"/>
            </w:pPr>
            <w:r>
              <w:rPr>
                <w:rFonts w:ascii="Arial" w:hAnsi="Arial"/>
                <w:color w:val="475569"/>
                <w:sz w:val="18"/>
              </w:rPr>
              <w:t xml:space="preserve">    B.3 Use Case Model &amp; Execution Matrix</w:t>
            </w:r>
          </w:p>
        </w:tc>
        <w:tc>
          <w:tcPr>
            <w:tcW w:type="dxa" w:w="1440"/>
          </w:tcPr>
          <w:p>
            <w:pPr>
              <w:spacing w:before="20" w:after="20"/>
              <w:jc w:val="right"/>
            </w:pPr>
            <w:r>
              <w:rPr>
                <w:rFonts w:ascii="Arial" w:hAnsi="Arial"/>
                <w:color w:val="475569"/>
                <w:sz w:val="18"/>
              </w:rPr>
              <w:t>23</w:t>
            </w:r>
          </w:p>
        </w:tc>
      </w:tr>
      <w:tr>
        <w:tc>
          <w:tcPr>
            <w:tcW w:type="dxa" w:w="7920"/>
          </w:tcPr>
          <w:p>
            <w:pPr>
              <w:spacing w:before="20" w:after="20"/>
            </w:pPr>
            <w:r>
              <w:rPr>
                <w:rFonts w:ascii="Arial" w:hAnsi="Arial"/>
                <w:color w:val="475569"/>
                <w:sz w:val="18"/>
              </w:rPr>
              <w:t xml:space="preserve">    B.4 Entity-Relationship Diagram (ERD) &amp; Relational Schema</w:t>
            </w:r>
          </w:p>
        </w:tc>
        <w:tc>
          <w:tcPr>
            <w:tcW w:type="dxa" w:w="1440"/>
          </w:tcPr>
          <w:p>
            <w:pPr>
              <w:spacing w:before="20" w:after="20"/>
              <w:jc w:val="right"/>
            </w:pPr>
            <w:r>
              <w:rPr>
                <w:rFonts w:ascii="Arial" w:hAnsi="Arial"/>
                <w:color w:val="475569"/>
                <w:sz w:val="18"/>
              </w:rPr>
              <w:t>24</w:t>
            </w:r>
          </w:p>
        </w:tc>
      </w:tr>
      <w:tr>
        <w:tc>
          <w:tcPr>
            <w:tcW w:type="dxa" w:w="7920"/>
          </w:tcPr>
          <w:p>
            <w:pPr>
              <w:spacing w:before="20" w:after="20"/>
            </w:pPr>
            <w:r>
              <w:rPr>
                <w:rFonts w:ascii="Arial" w:hAnsi="Arial"/>
                <w:color w:val="475569"/>
                <w:sz w:val="18"/>
              </w:rPr>
              <w:t xml:space="preserve">    B.5 State Transition Model</w:t>
            </w:r>
          </w:p>
        </w:tc>
        <w:tc>
          <w:tcPr>
            <w:tcW w:type="dxa" w:w="1440"/>
          </w:tcPr>
          <w:p>
            <w:pPr>
              <w:spacing w:before="20" w:after="20"/>
              <w:jc w:val="right"/>
            </w:pPr>
            <w:r>
              <w:rPr>
                <w:rFonts w:ascii="Arial" w:hAnsi="Arial"/>
                <w:color w:val="475569"/>
                <w:sz w:val="18"/>
              </w:rPr>
              <w:t>25</w:t>
            </w:r>
          </w:p>
        </w:tc>
      </w:tr>
      <w:tr>
        <w:tc>
          <w:tcPr>
            <w:tcW w:type="dxa" w:w="7920"/>
          </w:tcPr>
          <w:p>
            <w:pPr>
              <w:spacing w:before="20" w:after="20"/>
            </w:pPr>
            <w:r>
              <w:rPr>
                <w:rFonts w:ascii="Arial" w:hAnsi="Arial"/>
                <w:b/>
                <w:color w:val="0C2340"/>
                <w:sz w:val="18"/>
              </w:rPr>
              <w:t>Appendix C: To Be Determined (TBD) List</w:t>
            </w:r>
          </w:p>
        </w:tc>
        <w:tc>
          <w:tcPr>
            <w:tcW w:type="dxa" w:w="1440"/>
          </w:tcPr>
          <w:p>
            <w:pPr>
              <w:spacing w:before="20" w:after="20"/>
              <w:jc w:val="right"/>
            </w:pPr>
            <w:r>
              <w:rPr>
                <w:rFonts w:ascii="Arial" w:hAnsi="Arial"/>
                <w:b/>
                <w:color w:val="0C2340"/>
                <w:sz w:val="18"/>
              </w:rPr>
              <w:t>26</w:t>
            </w:r>
          </w:p>
        </w:tc>
      </w:tr>
    </w:tbl>
    <w:p>
      <w:pPr>
        <w:spacing w:before="240"/>
      </w:pPr>
    </w:p>
    <w:p>
      <w:pPr>
        <w:keepNext/>
        <w:spacing w:before="240" w:after="80"/>
      </w:pPr>
      <w:r>
        <w:rPr>
          <w:rFonts w:ascii="Arial" w:hAnsi="Arial"/>
          <w:b/>
          <w:color w:val="0F2E5A"/>
          <w:sz w:val="25"/>
        </w:rPr>
        <w:t>Revision History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728"/>
            <w:shd w:fill="0C2340"/>
            <w:tcMar>
              <w:top w:w="140" w:type="dxa"/>
              <w:bottom w:w="140" w:type="dxa"/>
              <w:left w:w="140" w:type="dxa"/>
              <w:right w:w="140" w:type="dxa"/>
            </w:tcMar>
          </w:tcPr>
          <w:p>
            <w:pPr>
              <w:spacing w:before="40" w:after="40"/>
              <w:jc w:val="left"/>
            </w:pPr>
            <w:r>
              <w:rPr>
                <w:rFonts w:ascii="Arial" w:hAnsi="Arial"/>
                <w:b/>
                <w:color w:val="FFFFFF"/>
                <w:sz w:val="19"/>
              </w:rPr>
              <w:t>Name</w:t>
            </w:r>
          </w:p>
        </w:tc>
        <w:tc>
          <w:tcPr>
            <w:tcW w:type="dxa" w:w="1584"/>
            <w:shd w:fill="0C2340"/>
            <w:tcMar>
              <w:top w:w="140" w:type="dxa"/>
              <w:bottom w:w="140" w:type="dxa"/>
              <w:left w:w="140" w:type="dxa"/>
              <w:right w:w="140" w:type="dxa"/>
            </w:tcMar>
          </w:tcPr>
          <w:p>
            <w:pPr>
              <w:spacing w:before="40" w:after="40"/>
              <w:jc w:val="left"/>
            </w:pPr>
            <w:r>
              <w:rPr>
                <w:rFonts w:ascii="Arial" w:hAnsi="Arial"/>
                <w:b/>
                <w:color w:val="FFFFFF"/>
                <w:sz w:val="19"/>
              </w:rPr>
              <w:t>Date</w:t>
            </w:r>
          </w:p>
        </w:tc>
        <w:tc>
          <w:tcPr>
            <w:tcW w:type="dxa" w:w="4896"/>
            <w:shd w:fill="0C2340"/>
            <w:tcMar>
              <w:top w:w="140" w:type="dxa"/>
              <w:bottom w:w="140" w:type="dxa"/>
              <w:left w:w="140" w:type="dxa"/>
              <w:right w:w="140" w:type="dxa"/>
            </w:tcMar>
          </w:tcPr>
          <w:p>
            <w:pPr>
              <w:spacing w:before="40" w:after="40"/>
              <w:jc w:val="left"/>
            </w:pPr>
            <w:r>
              <w:rPr>
                <w:rFonts w:ascii="Arial" w:hAnsi="Arial"/>
                <w:b/>
                <w:color w:val="FFFFFF"/>
                <w:sz w:val="19"/>
              </w:rPr>
              <w:t>Reason For Changes</w:t>
            </w:r>
          </w:p>
        </w:tc>
        <w:tc>
          <w:tcPr>
            <w:tcW w:type="dxa" w:w="1152"/>
            <w:shd w:fill="0C2340"/>
            <w:tcMar>
              <w:top w:w="140" w:type="dxa"/>
              <w:bottom w:w="140" w:type="dxa"/>
              <w:left w:w="140" w:type="dxa"/>
              <w:right w:w="140" w:type="dxa"/>
            </w:tcMar>
          </w:tcPr>
          <w:p>
            <w:pPr>
              <w:spacing w:before="40" w:after="40"/>
              <w:jc w:val="left"/>
            </w:pPr>
            <w:r>
              <w:rPr>
                <w:rFonts w:ascii="Arial" w:hAnsi="Arial"/>
                <w:b/>
                <w:color w:val="FFFFFF"/>
                <w:sz w:val="19"/>
              </w:rPr>
              <w:t>Version</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Team G1384</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15/08/2026</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Initial SRS draft; basic scope definition &amp; RT-DETR concepts.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1.0</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Team G1384</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02/09/2026</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Updated to reflect D-FINE HGNetV2-L model and 22-class TrashCan v2 ontology.</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1.1</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Team G1384</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18/09/2026</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Added PostgreSQL 18 + pgvector spatial schema and FastAPI endpoint specifications.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1.2</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Team G1384</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22/09/2026</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Full IEEE Std 830-1998 restructuring; integrated complete codebase alignment, formal stimulus/response flows, safety specifications, and analysis models.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2.0</w:t>
            </w:r>
          </w:p>
        </w:tc>
      </w:tr>
    </w:tbl>
    <w:p>
      <w:r>
        <w:br w:type="page"/>
      </w:r>
    </w:p>
    <w:p>
      <w:pPr>
        <w:keepNext/>
        <w:spacing w:before="320" w:after="120"/>
      </w:pPr>
      <w:r>
        <w:rPr>
          <w:rFonts w:ascii="Arial" w:hAnsi="Arial"/>
          <w:b/>
          <w:color w:val="0C2340"/>
          <w:sz w:val="32"/>
        </w:rPr>
        <w:t>1. Introduction</w:t>
      </w:r>
    </w:p>
    <w:p>
      <w:pPr>
        <w:keepNext/>
        <w:spacing w:before="240" w:after="80"/>
      </w:pPr>
      <w:r>
        <w:rPr>
          <w:rFonts w:ascii="Arial" w:hAnsi="Arial"/>
          <w:b/>
          <w:color w:val="0F2E5A"/>
          <w:sz w:val="25"/>
        </w:rPr>
        <w:t>1.1 Purpose</w:t>
      </w:r>
    </w:p>
    <w:p>
      <w:r>
        <w:t>This Software Requirements Specification (SRS) document establishes the comprehensive functional, non-functional, and interface requirements for Blue Sentinel (Release Version 2.0), an advanced deep-learning-powered marine debris detection, ecological risk assessment, and spatial audit system. The primary purpose of this specification is to deliver an unambiguous, rigorous, and verifiable technical reference for the development team (Team G1384), academic evaluators, examiners, marine researchers, and environmental NGOs. This document defines the complete system behavior across the full hardware/software boundary, encompassing client-side visual analytics, asynchronous REST backend microservices, real-time transformer object detection inference, and high-performance spatial-relational persistence with vector similarity indexing.</w:t>
      </w:r>
    </w:p>
    <w:p>
      <w:pPr>
        <w:keepNext/>
        <w:spacing w:before="240" w:after="80"/>
      </w:pPr>
      <w:r>
        <w:rPr>
          <w:rFonts w:ascii="Arial" w:hAnsi="Arial"/>
          <w:b/>
          <w:color w:val="0F2E5A"/>
          <w:sz w:val="25"/>
        </w:rPr>
        <w:t>1.2 Document Conventions</w:t>
      </w:r>
    </w:p>
    <w:p>
      <w:r>
        <w:t>This document follows the standardized IEEE Std 830-1998 Recommended Practice for Software Requirements Specifications and adheres to the following structural and typographical conventions:</w:t>
      </w:r>
    </w:p>
    <w:p>
      <w:pPr>
        <w:pStyle w:val="ListBullet"/>
        <w:spacing w:before="20" w:after="60" w:line="276" w:lineRule="auto"/>
      </w:pPr>
      <w:r>
        <w:rPr>
          <w:rFonts w:ascii="Arial" w:hAnsi="Arial"/>
          <w:b/>
          <w:color w:val="0F2E5A"/>
          <w:sz w:val="20"/>
        </w:rPr>
        <w:t xml:space="preserve">Requirement Identifiers: </w:t>
      </w:r>
      <w:r>
        <w:rPr>
          <w:rFonts w:ascii="Arial" w:hAnsi="Arial"/>
          <w:color w:val="334155"/>
          <w:sz w:val="20"/>
        </w:rPr>
        <w:t>Every functional requirement is uniquely tagged with an alphanumeric identifier (e.g., REQ-INF-1, REQ-UI-2, REQ-GEO-3, REQ-REP-4) indicating its parent functional feature. Non-functional requirements are similarly indexed with unique tags (e.g., NFR-PERF-1, NFR-SEC-2).</w:t>
      </w:r>
    </w:p>
    <w:p>
      <w:pPr>
        <w:pStyle w:val="ListBullet"/>
        <w:spacing w:before="20" w:after="60" w:line="276" w:lineRule="auto"/>
      </w:pPr>
      <w:r>
        <w:rPr>
          <w:rFonts w:ascii="Arial" w:hAnsi="Arial"/>
          <w:b/>
          <w:color w:val="0F2E5A"/>
          <w:sz w:val="20"/>
        </w:rPr>
        <w:t xml:space="preserve">Prioritization Scheme: </w:t>
      </w:r>
      <w:r>
        <w:rPr>
          <w:rFonts w:ascii="Arial" w:hAnsi="Arial"/>
          <w:color w:val="334155"/>
          <w:sz w:val="20"/>
        </w:rPr>
        <w:t>Requirements are explicitly rated using a multi-dimensional criteria matrix including relative Priority (High, Medium, Low) and four calibrated dimensional scale ratings (rated from 1 to 9): Benefit, Penalty, Cost, and Risk.</w:t>
      </w:r>
    </w:p>
    <w:p>
      <w:pPr>
        <w:pStyle w:val="ListBullet"/>
        <w:spacing w:before="20" w:after="60" w:line="276" w:lineRule="auto"/>
      </w:pPr>
      <w:r>
        <w:rPr>
          <w:rFonts w:ascii="Arial" w:hAnsi="Arial"/>
          <w:b/>
          <w:color w:val="0F2E5A"/>
          <w:sz w:val="20"/>
        </w:rPr>
        <w:t xml:space="preserve">Requirement Wording: </w:t>
      </w:r>
      <w:r>
        <w:rPr>
          <w:rFonts w:ascii="Arial" w:hAnsi="Arial"/>
          <w:color w:val="334155"/>
          <w:sz w:val="20"/>
        </w:rPr>
        <w:t>The keyword 'shall' denotes mandatory requirements strictly required for compliance. 'Should' denotes highly recommended capabilities. 'May' denotes optional or future experimental enhancements.</w:t>
      </w:r>
    </w:p>
    <w:p>
      <w:pPr>
        <w:pStyle w:val="ListBullet"/>
        <w:spacing w:before="20" w:after="60" w:line="276" w:lineRule="auto"/>
      </w:pPr>
      <w:r>
        <w:rPr>
          <w:rFonts w:ascii="Arial" w:hAnsi="Arial"/>
          <w:b/>
          <w:color w:val="0F2E5A"/>
          <w:sz w:val="20"/>
        </w:rPr>
        <w:t xml:space="preserve">Typographical Standards: </w:t>
      </w:r>
      <w:r>
        <w:rPr>
          <w:rFonts w:ascii="Arial" w:hAnsi="Arial"/>
          <w:color w:val="334155"/>
          <w:sz w:val="20"/>
        </w:rPr>
        <w:t>Software packages, file paths, database identifiers, and source code endpoints are set in monospaced or italicized text (e.g., POST /detect, scan_batches, RTDETRWrapper, D-FINE).</w:t>
      </w:r>
    </w:p>
    <w:p>
      <w:pPr>
        <w:keepNext/>
        <w:spacing w:before="240" w:after="80"/>
      </w:pPr>
      <w:r>
        <w:rPr>
          <w:rFonts w:ascii="Arial" w:hAnsi="Arial"/>
          <w:b/>
          <w:color w:val="0F2E5A"/>
          <w:sz w:val="25"/>
        </w:rPr>
        <w:t>1.3 Intended Audience and Reading Suggestions</w:t>
      </w:r>
    </w:p>
    <w:p>
      <w:r>
        <w:t>This SRS is engineered for a diverse multidisciplinary audience. Reading suggestions tailored to each reader group are as follows:</w:t>
      </w:r>
    </w:p>
    <w:p>
      <w:pPr>
        <w:pStyle w:val="ListBullet"/>
        <w:spacing w:before="20" w:after="60" w:line="276" w:lineRule="auto"/>
      </w:pPr>
      <w:r>
        <w:rPr>
          <w:rFonts w:ascii="Arial" w:hAnsi="Arial"/>
          <w:b/>
          <w:color w:val="0F2E5A"/>
          <w:sz w:val="20"/>
        </w:rPr>
        <w:t xml:space="preserve">Academic Evaluators &amp; Project Examiners: </w:t>
      </w:r>
      <w:r>
        <w:rPr>
          <w:rFonts w:ascii="Arial" w:hAnsi="Arial"/>
          <w:color w:val="334155"/>
          <w:sz w:val="20"/>
        </w:rPr>
        <w:t>Begin with Section 1.4 (Product Scope) and Section 2 (Overall Description) to evaluate system novelty, theoretical alignment with state-of-the-art vision models, and constraints. Proceed directly to Section 4 (System Features) and Appendix B (Analysis Models) for technical rigor.</w:t>
      </w:r>
    </w:p>
    <w:p>
      <w:pPr>
        <w:pStyle w:val="ListBullet"/>
        <w:spacing w:before="20" w:after="60" w:line="276" w:lineRule="auto"/>
      </w:pPr>
      <w:r>
        <w:rPr>
          <w:rFonts w:ascii="Arial" w:hAnsi="Arial"/>
          <w:b/>
          <w:color w:val="0F2E5A"/>
          <w:sz w:val="20"/>
        </w:rPr>
        <w:t xml:space="preserve">Software Engineers &amp; Full-Stack Developers: </w:t>
      </w:r>
      <w:r>
        <w:rPr>
          <w:rFonts w:ascii="Arial" w:hAnsi="Arial"/>
          <w:color w:val="334155"/>
          <w:sz w:val="20"/>
        </w:rPr>
        <w:t>Focus immediately on Section 3 (External Interface Requirements), Section 4 (System Features with exact stimulus/response flows), Section 6.1 (Database &amp; Vector Indexing), and Appendix B.4 (Relational Schema).</w:t>
      </w:r>
    </w:p>
    <w:p>
      <w:pPr>
        <w:pStyle w:val="ListBullet"/>
        <w:spacing w:before="20" w:after="60" w:line="276" w:lineRule="auto"/>
      </w:pPr>
      <w:r>
        <w:rPr>
          <w:rFonts w:ascii="Arial" w:hAnsi="Arial"/>
          <w:b/>
          <w:color w:val="0F2E5A"/>
          <w:sz w:val="20"/>
        </w:rPr>
        <w:t xml:space="preserve">Machine Learning Engineers: </w:t>
      </w:r>
      <w:r>
        <w:rPr>
          <w:rFonts w:ascii="Arial" w:hAnsi="Arial"/>
          <w:color w:val="334155"/>
          <w:sz w:val="20"/>
        </w:rPr>
        <w:t>Review Section 2.1, Section 2.4, Section 3.3 (Software Interfaces), Feature 4.1 (D-FINE Deep Learning Inference), and Appendix A for model checkpoints, tensor transforms, and TrashCan v2 category taxonomies.</w:t>
      </w:r>
    </w:p>
    <w:p>
      <w:pPr>
        <w:pStyle w:val="ListBullet"/>
        <w:spacing w:before="20" w:after="60" w:line="276" w:lineRule="auto"/>
      </w:pPr>
      <w:r>
        <w:rPr>
          <w:rFonts w:ascii="Arial" w:hAnsi="Arial"/>
          <w:b/>
          <w:color w:val="0F2E5A"/>
          <w:sz w:val="20"/>
        </w:rPr>
        <w:t xml:space="preserve">Marine Biologists, Surveyors &amp; Field Operators: </w:t>
      </w:r>
      <w:r>
        <w:rPr>
          <w:rFonts w:ascii="Arial" w:hAnsi="Arial"/>
          <w:color w:val="334155"/>
          <w:sz w:val="20"/>
        </w:rPr>
        <w:t>Read Section 1.4, Section 2.2 (Product Functions), Section 2.3 (User Classes), Section 3.1 (User Interfaces), and Section 4.4 (Ecological Risk Assessment &amp; Audit Reports).</w:t>
      </w:r>
    </w:p>
    <w:p>
      <w:pPr>
        <w:keepNext/>
        <w:spacing w:before="240" w:after="80"/>
      </w:pPr>
      <w:r>
        <w:rPr>
          <w:rFonts w:ascii="Arial" w:hAnsi="Arial"/>
          <w:b/>
          <w:color w:val="0F2E5A"/>
          <w:sz w:val="25"/>
        </w:rPr>
        <w:t>1.4 Product Scope</w:t>
      </w:r>
    </w:p>
    <w:p>
      <w:r>
        <w:t>Blue Sentinel is an autonomous artificial intelligence system engineered to mitigate the global marine pollution crisis by automating the localization, classification, ecological severity assessment, and spatial mapping of marine debris in submerged benthic, pelagic, and surface-water environments. The software ingests standard optical RGB imagery captured by Remotely Operated Vehicles (ROVs), Autonomous Underwater Vehicles (AUVs), scuba-diver cameras, and harbor patrol drones, processes each frame through a fine-tuned D-FINE (HGNetV2-L) Real-Time Detection Transformer, and generates structured ecological audit documentation.</w:t>
      </w:r>
    </w:p>
    <w:p>
      <w:r>
        <w:t>The core objectives and measurable benefits of the Blue Sentinel software platform include:</w:t>
      </w:r>
    </w:p>
    <w:p>
      <w:pPr>
        <w:pStyle w:val="ListBullet"/>
        <w:spacing w:before="20" w:after="60" w:line="276" w:lineRule="auto"/>
      </w:pPr>
      <w:r>
        <w:rPr>
          <w:rFonts w:ascii="Arial" w:hAnsi="Arial"/>
          <w:b/>
          <w:color w:val="0F2E5A"/>
          <w:sz w:val="20"/>
        </w:rPr>
        <w:t xml:space="preserve">Accelerated Environmental Audits: </w:t>
      </w:r>
      <w:r>
        <w:rPr>
          <w:rFonts w:ascii="Arial" w:hAnsi="Arial"/>
          <w:color w:val="334155"/>
          <w:sz w:val="20"/>
        </w:rPr>
        <w:t>Replaces manual, labor-intensive video scrubbing with instant (sub-second on GPU, &lt;10s on CPU) automated multi-class detection across 22 standardized marine categories.</w:t>
      </w:r>
    </w:p>
    <w:p>
      <w:pPr>
        <w:pStyle w:val="ListBullet"/>
        <w:spacing w:before="20" w:after="60" w:line="276" w:lineRule="auto"/>
      </w:pPr>
      <w:r>
        <w:rPr>
          <w:rFonts w:ascii="Arial" w:hAnsi="Arial"/>
          <w:b/>
          <w:color w:val="0F2E5A"/>
          <w:sz w:val="20"/>
        </w:rPr>
        <w:t xml:space="preserve">Standardized Ecological Threat Quantification: </w:t>
      </w:r>
      <w:r>
        <w:rPr>
          <w:rFonts w:ascii="Arial" w:hAnsi="Arial"/>
          <w:color w:val="334155"/>
          <w:sz w:val="20"/>
        </w:rPr>
        <w:t>Translates raw pixel bounding boxes and category distributions into an actionable 4-tier ecological severity index (Critical, High, Medium, Low) based on biological entanglement hazard, toxicity, and ghost gear entrapment.</w:t>
      </w:r>
    </w:p>
    <w:p>
      <w:pPr>
        <w:pStyle w:val="ListBullet"/>
        <w:spacing w:before="20" w:after="60" w:line="276" w:lineRule="auto"/>
      </w:pPr>
      <w:r>
        <w:rPr>
          <w:rFonts w:ascii="Arial" w:hAnsi="Arial"/>
          <w:b/>
          <w:color w:val="0F2E5A"/>
          <w:sz w:val="20"/>
        </w:rPr>
        <w:t xml:space="preserve">Zero-Cloud-Cost Sovereignty &amp; Privacy: </w:t>
      </w:r>
      <w:r>
        <w:rPr>
          <w:rFonts w:ascii="Arial" w:hAnsi="Arial"/>
          <w:color w:val="334155"/>
          <w:sz w:val="20"/>
        </w:rPr>
        <w:t>Eliminates recurring paid commercial cloud API dependencies by deploying all neural inference and spatial analytics on local, edge, or on-premise hardware.</w:t>
      </w:r>
    </w:p>
    <w:p>
      <w:pPr>
        <w:pStyle w:val="ListBullet"/>
        <w:spacing w:before="20" w:after="60" w:line="276" w:lineRule="auto"/>
      </w:pPr>
      <w:r>
        <w:rPr>
          <w:rFonts w:ascii="Arial" w:hAnsi="Arial"/>
          <w:b/>
          <w:color w:val="0F2E5A"/>
          <w:sz w:val="20"/>
        </w:rPr>
        <w:t xml:space="preserve">Spatial-Relational Data Persistence: </w:t>
      </w:r>
      <w:r>
        <w:rPr>
          <w:rFonts w:ascii="Arial" w:hAnsi="Arial"/>
          <w:color w:val="334155"/>
          <w:sz w:val="20"/>
        </w:rPr>
        <w:t>Stores detection coordinates, geofenced boundaries, and 512-dimensional visual vector embeddings directly in PostgreSQL 18 with pgvector for longitudinal hotspot trend analytics.</w:t>
      </w:r>
    </w:p>
    <w:p>
      <w:pPr>
        <w:keepNext/>
        <w:spacing w:before="240" w:after="80"/>
      </w:pPr>
      <w:r>
        <w:rPr>
          <w:rFonts w:ascii="Arial" w:hAnsi="Arial"/>
          <w:b/>
          <w:color w:val="0F2E5A"/>
          <w:sz w:val="25"/>
        </w:rPr>
        <w:t>1.5 References</w:t>
      </w:r>
    </w:p>
    <w:p>
      <w:r>
        <w:t>This document references the following formal standards, literature, datasets, and specifications:</w:t>
      </w:r>
    </w:p>
    <w:p>
      <w:pPr>
        <w:pStyle w:val="ListBullet"/>
        <w:spacing w:before="20" w:after="60" w:line="276" w:lineRule="auto"/>
      </w:pPr>
      <w:r>
        <w:rPr>
          <w:rFonts w:ascii="Arial" w:hAnsi="Arial"/>
          <w:b/>
          <w:color w:val="0F2E5A"/>
          <w:sz w:val="20"/>
        </w:rPr>
        <w:t xml:space="preserve">[IEEE-830] </w:t>
      </w:r>
      <w:r>
        <w:rPr>
          <w:rFonts w:ascii="Arial" w:hAnsi="Arial"/>
          <w:color w:val="334155"/>
          <w:sz w:val="20"/>
        </w:rPr>
        <w:t>IEEE Std 830-1998, IEEE Recommended Practice for Software Requirements Specifications, IEEE Computer Society, 1998.</w:t>
      </w:r>
    </w:p>
    <w:p>
      <w:pPr>
        <w:pStyle w:val="ListBullet"/>
        <w:spacing w:before="20" w:after="60" w:line="276" w:lineRule="auto"/>
      </w:pPr>
      <w:r>
        <w:rPr>
          <w:rFonts w:ascii="Arial" w:hAnsi="Arial"/>
          <w:b/>
          <w:color w:val="0F2E5A"/>
          <w:sz w:val="20"/>
        </w:rPr>
        <w:t xml:space="preserve">[Jing-2026] </w:t>
      </w:r>
      <w:r>
        <w:rPr>
          <w:rFonts w:ascii="Arial" w:hAnsi="Arial"/>
          <w:color w:val="334155"/>
          <w:sz w:val="20"/>
        </w:rPr>
        <w:t>Jing, X. et al. (2026). 'An improved YOLOv11 network for marine debris detection in underwater environment.' Scientific Reports, Nature Publishing Group. https://www.nature.com/articles/s41598-026-38305-0</w:t>
      </w:r>
    </w:p>
    <w:p>
      <w:pPr>
        <w:pStyle w:val="ListBullet"/>
        <w:spacing w:before="20" w:after="60" w:line="276" w:lineRule="auto"/>
      </w:pPr>
      <w:r>
        <w:rPr>
          <w:rFonts w:ascii="Arial" w:hAnsi="Arial"/>
          <w:b/>
          <w:color w:val="0F2E5A"/>
          <w:sz w:val="20"/>
        </w:rPr>
        <w:t xml:space="preserve">[TrashCan-v2] </w:t>
      </w:r>
      <w:r>
        <w:rPr>
          <w:rFonts w:ascii="Arial" w:hAnsi="Arial"/>
          <w:color w:val="334155"/>
          <w:sz w:val="20"/>
        </w:rPr>
        <w:t>Hong, J. et al. (2020/2024). 'TrashCan: A Deep Sea Marine Debris Dataset.' Minnesota Robotics Institute &amp; JAMSTEC (Japan Agency for Marine-Earth Science and Technology).</w:t>
      </w:r>
    </w:p>
    <w:p>
      <w:pPr>
        <w:pStyle w:val="ListBullet"/>
        <w:spacing w:before="20" w:after="60" w:line="276" w:lineRule="auto"/>
      </w:pPr>
      <w:r>
        <w:rPr>
          <w:rFonts w:ascii="Arial" w:hAnsi="Arial"/>
          <w:b/>
          <w:color w:val="0F2E5A"/>
          <w:sz w:val="20"/>
        </w:rPr>
        <w:t xml:space="preserve">[D-FINE-2024] </w:t>
      </w:r>
      <w:r>
        <w:rPr>
          <w:rFonts w:ascii="Arial" w:hAnsi="Arial"/>
          <w:color w:val="334155"/>
          <w:sz w:val="20"/>
        </w:rPr>
        <w:t>Peng, C. et al. (2024). 'D-FINE: Redefine Bounding Box Regression for Extreme-Speed Real-Time Object Detection.' Baidu / RT-DETR Team. Checkpoint repository: coding-droid-123/trashcan-dfine.</w:t>
      </w:r>
    </w:p>
    <w:p>
      <w:pPr>
        <w:pStyle w:val="ListBullet"/>
        <w:spacing w:before="20" w:after="60" w:line="276" w:lineRule="auto"/>
      </w:pPr>
      <w:r>
        <w:rPr>
          <w:rFonts w:ascii="Arial" w:hAnsi="Arial"/>
          <w:b/>
          <w:color w:val="0F2E5A"/>
          <w:sz w:val="20"/>
        </w:rPr>
        <w:t xml:space="preserve">[FastAPI-Docs] </w:t>
      </w:r>
      <w:r>
        <w:rPr>
          <w:rFonts w:ascii="Arial" w:hAnsi="Arial"/>
          <w:color w:val="334155"/>
          <w:sz w:val="20"/>
        </w:rPr>
        <w:t>Tiangolo, S. (2024). FastAPI Framework High-Performance Web Architecture (v0.141+). https://fastapi.tiangolo.com</w:t>
      </w:r>
    </w:p>
    <w:p>
      <w:pPr>
        <w:pStyle w:val="ListBullet"/>
        <w:spacing w:before="20" w:after="60" w:line="276" w:lineRule="auto"/>
      </w:pPr>
      <w:r>
        <w:rPr>
          <w:rFonts w:ascii="Arial" w:hAnsi="Arial"/>
          <w:b/>
          <w:color w:val="0F2E5A"/>
          <w:sz w:val="20"/>
        </w:rPr>
        <w:t xml:space="preserve">[PG-Vector] </w:t>
      </w:r>
      <w:r>
        <w:rPr>
          <w:rFonts w:ascii="Arial" w:hAnsi="Arial"/>
          <w:color w:val="334155"/>
          <w:sz w:val="20"/>
        </w:rPr>
        <w:t>PostgreSQL Global Development Group (2024). PostgreSQL 18 System Documentation and pgvector Open-Source Vector Similarity Extension.</w:t>
      </w:r>
    </w:p>
    <w:p>
      <w:r>
        <w:br w:type="page"/>
      </w:r>
    </w:p>
    <w:p>
      <w:pPr>
        <w:keepNext/>
        <w:spacing w:before="320" w:after="120"/>
      </w:pPr>
      <w:r>
        <w:rPr>
          <w:rFonts w:ascii="Arial" w:hAnsi="Arial"/>
          <w:b/>
          <w:color w:val="0C2340"/>
          <w:sz w:val="32"/>
        </w:rPr>
        <w:t>2. Overall Description</w:t>
      </w:r>
    </w:p>
    <w:p>
      <w:pPr>
        <w:keepNext/>
        <w:spacing w:before="240" w:after="80"/>
      </w:pPr>
      <w:r>
        <w:rPr>
          <w:rFonts w:ascii="Arial" w:hAnsi="Arial"/>
          <w:b/>
          <w:color w:val="0F2E5A"/>
          <w:sz w:val="25"/>
        </w:rPr>
        <w:t>2.1 Product Perspective</w:t>
      </w:r>
    </w:p>
    <w:p>
      <w:r>
        <w:t>Blue Sentinel is an independent, end-to-end software platform built from the ground up to overcome the critical limitations of existing academic object detection prototypes. Prior works (such as Jing et al., 2026) demonstrated basic marine debris detection using YOLO variants but lacked integrated geofencing, multi-modal persistence, interactive client-side threshold manipulation, vector similarity search, and automated ecological audit report generation. Blue Sentinel establishes an integrated client-server architecture consisting of:</w:t>
      </w:r>
    </w:p>
    <w:p>
      <w:pPr>
        <w:pStyle w:val="ListBullet"/>
        <w:spacing w:before="20" w:after="60" w:line="276" w:lineRule="auto"/>
      </w:pPr>
      <w:r>
        <w:rPr>
          <w:rFonts w:ascii="Arial" w:hAnsi="Arial"/>
          <w:b/>
          <w:color w:val="0F2E5A"/>
          <w:sz w:val="20"/>
        </w:rPr>
        <w:t xml:space="preserve">Client-Side Visual Dashboard: </w:t>
      </w:r>
      <w:r>
        <w:rPr>
          <w:rFonts w:ascii="Arial" w:hAnsi="Arial"/>
          <w:color w:val="334155"/>
          <w:sz w:val="20"/>
        </w:rPr>
        <w:t>A React 19 single-page application built on Vite and Tailwind CSS, providing high-contrast oceanic light styling (60-30-10 rule), dynamic bounding box canvas overlays, real-time threshold filtering, and instant printable audit modal generation.</w:t>
      </w:r>
    </w:p>
    <w:p>
      <w:pPr>
        <w:pStyle w:val="ListBullet"/>
        <w:spacing w:before="20" w:after="60" w:line="276" w:lineRule="auto"/>
      </w:pPr>
      <w:r>
        <w:rPr>
          <w:rFonts w:ascii="Arial" w:hAnsi="Arial"/>
          <w:b/>
          <w:color w:val="0F2E5A"/>
          <w:sz w:val="20"/>
        </w:rPr>
        <w:t xml:space="preserve">High-Throughput Asynchronous Server: </w:t>
      </w:r>
      <w:r>
        <w:rPr>
          <w:rFonts w:ascii="Arial" w:hAnsi="Arial"/>
          <w:color w:val="334155"/>
          <w:sz w:val="20"/>
        </w:rPr>
        <w:t>A FastAPI backend exposing asynchronous REST endpoints, managing model lifecycle, file upload validation, and GPU-accelerated PyTorch inference pipelines.</w:t>
      </w:r>
    </w:p>
    <w:p>
      <w:pPr>
        <w:pStyle w:val="ListBullet"/>
        <w:spacing w:before="20" w:after="60" w:line="276" w:lineRule="auto"/>
      </w:pPr>
      <w:r>
        <w:rPr>
          <w:rFonts w:ascii="Arial" w:hAnsi="Arial"/>
          <w:b/>
          <w:color w:val="0F2E5A"/>
          <w:sz w:val="20"/>
        </w:rPr>
        <w:t xml:space="preserve">Neural Vision Inference Engine: </w:t>
      </w:r>
      <w:r>
        <w:rPr>
          <w:rFonts w:ascii="Arial" w:hAnsi="Arial"/>
          <w:color w:val="334155"/>
          <w:sz w:val="20"/>
        </w:rPr>
        <w:t>An in-memory D-FINE (HGNetV2-L) detection model loaded directly into GPU VRAM or host memory via PyTorch and HuggingFace Hub, executing single-pass multi-scale object detection without disk I/O bottlenecks.</w:t>
      </w:r>
    </w:p>
    <w:p>
      <w:pPr>
        <w:pStyle w:val="ListBullet"/>
        <w:spacing w:before="20" w:after="60" w:line="276" w:lineRule="auto"/>
      </w:pPr>
      <w:r>
        <w:rPr>
          <w:rFonts w:ascii="Arial" w:hAnsi="Arial"/>
          <w:b/>
          <w:color w:val="0F2E5A"/>
          <w:sz w:val="20"/>
        </w:rPr>
        <w:t xml:space="preserve">Spatial-Relational &amp; Vector Data Store: </w:t>
      </w:r>
      <w:r>
        <w:rPr>
          <w:rFonts w:ascii="Arial" w:hAnsi="Arial"/>
          <w:color w:val="334155"/>
          <w:sz w:val="20"/>
        </w:rPr>
        <w:t>A containerized PostgreSQL 18 instance with pgvector, storing scan batches, detection coordinates, geofence polygons, and visual embeddings.</w:t>
      </w:r>
    </w:p>
    <w:p>
      <w:pPr>
        <w:keepNext/>
        <w:spacing w:before="240" w:after="80"/>
      </w:pPr>
      <w:r>
        <w:rPr>
          <w:rFonts w:ascii="Arial" w:hAnsi="Arial"/>
          <w:b/>
          <w:color w:val="0F2E5A"/>
          <w:sz w:val="25"/>
        </w:rPr>
        <w:t>2.2 Product Functions</w:t>
      </w:r>
    </w:p>
    <w:p>
      <w:r>
        <w:t>The primary high-level functions provided by Blue Sentinel are summarized below:</w:t>
      </w:r>
    </w:p>
    <w:p>
      <w:pPr>
        <w:pStyle w:val="ListBullet"/>
        <w:spacing w:before="20" w:after="60" w:line="276" w:lineRule="auto"/>
      </w:pPr>
      <w:r>
        <w:rPr>
          <w:rFonts w:ascii="Arial" w:hAnsi="Arial"/>
          <w:b/>
          <w:color w:val="0F2E5A"/>
          <w:sz w:val="20"/>
        </w:rPr>
        <w:t xml:space="preserve">Optical Debris &amp; Marine Life Detection: </w:t>
      </w:r>
      <w:r>
        <w:rPr>
          <w:rFonts w:ascii="Arial" w:hAnsi="Arial"/>
          <w:color w:val="334155"/>
          <w:sz w:val="20"/>
        </w:rPr>
        <w:t>Autonomous localization and classification of submerged targets across 22 classes spanning debris (nets, bottles, tarps, wreckage, cans) and marine biodiversity (fish, starfish, crabs, eels, plants, ROVs).</w:t>
      </w:r>
    </w:p>
    <w:p>
      <w:pPr>
        <w:pStyle w:val="ListBullet"/>
        <w:spacing w:before="20" w:after="60" w:line="276" w:lineRule="auto"/>
      </w:pPr>
      <w:r>
        <w:rPr>
          <w:rFonts w:ascii="Arial" w:hAnsi="Arial"/>
          <w:b/>
          <w:color w:val="0F2E5A"/>
          <w:sz w:val="20"/>
        </w:rPr>
        <w:t xml:space="preserve">Ecological Threat Index Calculation: </w:t>
      </w:r>
      <w:r>
        <w:rPr>
          <w:rFonts w:ascii="Arial" w:hAnsi="Arial"/>
          <w:color w:val="334155"/>
          <w:sz w:val="20"/>
        </w:rPr>
        <w:t>Automated evaluation of environmental hazard per scan based on detected item counts, material toxicity, and biological entrapment risk.</w:t>
      </w:r>
    </w:p>
    <w:p>
      <w:pPr>
        <w:pStyle w:val="ListBullet"/>
        <w:spacing w:before="20" w:after="60" w:line="276" w:lineRule="auto"/>
      </w:pPr>
      <w:r>
        <w:rPr>
          <w:rFonts w:ascii="Arial" w:hAnsi="Arial"/>
          <w:b/>
          <w:color w:val="0F2E5A"/>
          <w:sz w:val="20"/>
        </w:rPr>
        <w:t xml:space="preserve">Dynamic Client-Side Confidence Filtering: </w:t>
      </w:r>
      <w:r>
        <w:rPr>
          <w:rFonts w:ascii="Arial" w:hAnsi="Arial"/>
          <w:color w:val="334155"/>
          <w:sz w:val="20"/>
        </w:rPr>
        <w:t>Interactive user adjustment of confidence thresholds (10% to 90%) on the client canvas without re-querying the backend server.</w:t>
      </w:r>
    </w:p>
    <w:p>
      <w:pPr>
        <w:pStyle w:val="ListBullet"/>
        <w:spacing w:before="20" w:after="60" w:line="276" w:lineRule="auto"/>
      </w:pPr>
      <w:r>
        <w:rPr>
          <w:rFonts w:ascii="Arial" w:hAnsi="Arial"/>
          <w:b/>
          <w:color w:val="0F2E5A"/>
          <w:sz w:val="20"/>
        </w:rPr>
        <w:t xml:space="preserve">Geographic Tagging &amp; Geofencing: </w:t>
      </w:r>
      <w:r>
        <w:rPr>
          <w:rFonts w:ascii="Arial" w:hAnsi="Arial"/>
          <w:color w:val="334155"/>
          <w:sz w:val="20"/>
        </w:rPr>
        <w:t>Association of optical scans with precise GPS latitude/longitude coordinates and named marine zones (e.g., Coral Reef Sector Alpha, Deep Sea Trench Beta).</w:t>
      </w:r>
    </w:p>
    <w:p>
      <w:pPr>
        <w:pStyle w:val="ListBullet"/>
        <w:spacing w:before="20" w:after="60" w:line="276" w:lineRule="auto"/>
      </w:pPr>
      <w:r>
        <w:rPr>
          <w:rFonts w:ascii="Arial" w:hAnsi="Arial"/>
          <w:b/>
          <w:color w:val="0F2E5A"/>
          <w:sz w:val="20"/>
        </w:rPr>
        <w:t xml:space="preserve">Automated Audit PDF Export: </w:t>
      </w:r>
      <w:r>
        <w:rPr>
          <w:rFonts w:ascii="Arial" w:hAnsi="Arial"/>
          <w:color w:val="334155"/>
          <w:sz w:val="20"/>
        </w:rPr>
        <w:t>Instant compilation of visual detection canvases, classification breakdown tables, ecological threat scores, and mitigation recommendations into a downloadable, formal environmental audit report.</w:t>
      </w:r>
    </w:p>
    <w:p>
      <w:pPr>
        <w:pStyle w:val="ListBullet"/>
        <w:spacing w:before="20" w:after="60" w:line="276" w:lineRule="auto"/>
      </w:pPr>
      <w:r>
        <w:rPr>
          <w:rFonts w:ascii="Arial" w:hAnsi="Arial"/>
          <w:b/>
          <w:color w:val="0F2E5A"/>
          <w:sz w:val="20"/>
        </w:rPr>
        <w:t xml:space="preserve">Historical Scan Management &amp; Analytics: </w:t>
      </w:r>
      <w:r>
        <w:rPr>
          <w:rFonts w:ascii="Arial" w:hAnsi="Arial"/>
          <w:color w:val="334155"/>
          <w:sz w:val="20"/>
        </w:rPr>
        <w:t>Relational archival of past surveillance runs with pagination, detailed inspection views, and macro-level aggregate statistics.</w:t>
      </w:r>
    </w:p>
    <w:p>
      <w:pPr>
        <w:keepNext/>
        <w:spacing w:before="240" w:after="80"/>
      </w:pPr>
      <w:r>
        <w:rPr>
          <w:rFonts w:ascii="Arial" w:hAnsi="Arial"/>
          <w:b/>
          <w:color w:val="0F2E5A"/>
          <w:sz w:val="25"/>
        </w:rPr>
        <w:t>2.3 User Classes and Characteristics</w:t>
      </w:r>
    </w:p>
    <w:p>
      <w:r>
        <w:t>Blue Sentinel serves three primary user classes, each exhibiting distinct operational goals and workflows: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0C2340"/>
            <w:tcMar>
              <w:top w:w="140" w:type="dxa"/>
              <w:bottom w:w="140" w:type="dxa"/>
              <w:left w:w="140" w:type="dxa"/>
              <w:right w:w="140" w:type="dxa"/>
            </w:tcMar>
          </w:tcPr>
          <w:p>
            <w:pPr>
              <w:spacing w:before="40" w:after="40"/>
              <w:jc w:val="left"/>
            </w:pPr>
            <w:r>
              <w:rPr>
                <w:rFonts w:ascii="Arial" w:hAnsi="Arial"/>
                <w:b/>
                <w:color w:val="FFFFFF"/>
                <w:sz w:val="19"/>
              </w:rPr>
              <w:t>User Class</w:t>
            </w:r>
          </w:p>
        </w:tc>
        <w:tc>
          <w:tcPr>
            <w:tcW w:type="dxa" w:w="2592"/>
            <w:shd w:fill="0C2340"/>
            <w:tcMar>
              <w:top w:w="140" w:type="dxa"/>
              <w:bottom w:w="140" w:type="dxa"/>
              <w:left w:w="140" w:type="dxa"/>
              <w:right w:w="140" w:type="dxa"/>
            </w:tcMar>
          </w:tcPr>
          <w:p>
            <w:pPr>
              <w:spacing w:before="40" w:after="40"/>
              <w:jc w:val="left"/>
            </w:pPr>
            <w:r>
              <w:rPr>
                <w:rFonts w:ascii="Arial" w:hAnsi="Arial"/>
                <w:b/>
                <w:color w:val="FFFFFF"/>
                <w:sz w:val="19"/>
              </w:rPr>
              <w:t>Primary Objectives</w:t>
            </w:r>
          </w:p>
        </w:tc>
        <w:tc>
          <w:tcPr>
            <w:tcW w:type="dxa" w:w="1728"/>
            <w:shd w:fill="0C2340"/>
            <w:tcMar>
              <w:top w:w="140" w:type="dxa"/>
              <w:bottom w:w="140" w:type="dxa"/>
              <w:left w:w="140" w:type="dxa"/>
              <w:right w:w="140" w:type="dxa"/>
            </w:tcMar>
          </w:tcPr>
          <w:p>
            <w:pPr>
              <w:spacing w:before="40" w:after="40"/>
              <w:jc w:val="left"/>
            </w:pPr>
            <w:r>
              <w:rPr>
                <w:rFonts w:ascii="Arial" w:hAnsi="Arial"/>
                <w:b/>
                <w:color w:val="FFFFFF"/>
                <w:sz w:val="19"/>
              </w:rPr>
              <w:t>Technical Competence</w:t>
            </w:r>
          </w:p>
        </w:tc>
        <w:tc>
          <w:tcPr>
            <w:tcW w:type="dxa" w:w="2880"/>
            <w:shd w:fill="0C2340"/>
            <w:tcMar>
              <w:top w:w="140" w:type="dxa"/>
              <w:bottom w:w="140" w:type="dxa"/>
              <w:left w:w="140" w:type="dxa"/>
              <w:right w:w="140" w:type="dxa"/>
            </w:tcMar>
          </w:tcPr>
          <w:p>
            <w:pPr>
              <w:spacing w:before="40" w:after="40"/>
              <w:jc w:val="left"/>
            </w:pPr>
            <w:r>
              <w:rPr>
                <w:rFonts w:ascii="Arial" w:hAnsi="Arial"/>
                <w:b/>
                <w:color w:val="FFFFFF"/>
                <w:sz w:val="19"/>
              </w:rPr>
              <w:t>Usage Patterns &amp; Critical Features</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Marine Researchers &amp; Marine Biologists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Analyze biodiversity density, species co-occurrence with plastics, and benthic habitat degradation.</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High (familiar with scientific methodologies and data distributions)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Processes multi-image surveys; inspects class distributions; requires high-precision confidence controls and raw detection logs.</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Environmental NGOs &amp; Coastal Cleanup Crews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Identify pollution hotspots, quantify ghost gear entrapment hazards, and allocate dive team resources.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Moderate to Low (prioritizes actionable summaries over model internals)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Relies heavily on 4-tier ecological threat badges, high-impact PDF audit exports, and clear cleanup action recommendations.</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Harbor Authorities &amp; Coastal Surveyors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Monitor navigational hazards (e.g., submerged nets, wreckage, ropes), ensure maritime regulatory compliance.</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Moderate (values spatial geofencing and audit trails)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Focuses on GPS geofencing, temporal history tracking, and archival reports for compliance auditing and maritime safety.</w:t>
            </w:r>
          </w:p>
        </w:tc>
      </w:tr>
    </w:tbl>
    <w:p>
      <w:pPr>
        <w:keepNext/>
        <w:spacing w:before="240" w:after="80"/>
      </w:pPr>
      <w:r>
        <w:rPr>
          <w:rFonts w:ascii="Arial" w:hAnsi="Arial"/>
          <w:b/>
          <w:color w:val="0F2E5A"/>
          <w:sz w:val="25"/>
        </w:rPr>
        <w:t>2.4 Operating Environment</w:t>
      </w:r>
    </w:p>
    <w:p>
      <w:r>
        <w:t>The software operates across the following defined hardware and software environments:</w:t>
      </w:r>
    </w:p>
    <w:p>
      <w:pPr>
        <w:pStyle w:val="ListBullet"/>
        <w:spacing w:before="20" w:after="60" w:line="276" w:lineRule="auto"/>
      </w:pPr>
      <w:r>
        <w:rPr>
          <w:rFonts w:ascii="Arial" w:hAnsi="Arial"/>
          <w:b/>
          <w:color w:val="0F2E5A"/>
          <w:sz w:val="20"/>
        </w:rPr>
        <w:t xml:space="preserve">Server Operating System: </w:t>
      </w:r>
      <w:r>
        <w:rPr>
          <w:rFonts w:ascii="Arial" w:hAnsi="Arial"/>
          <w:color w:val="334155"/>
          <w:sz w:val="20"/>
        </w:rPr>
        <w:t>Windows 10/11 (64-bit) or Ubuntu Linux 22.04/24.04 LTS.</w:t>
      </w:r>
    </w:p>
    <w:p>
      <w:pPr>
        <w:pStyle w:val="ListBullet"/>
        <w:spacing w:before="20" w:after="60" w:line="276" w:lineRule="auto"/>
      </w:pPr>
      <w:r>
        <w:rPr>
          <w:rFonts w:ascii="Arial" w:hAnsi="Arial"/>
          <w:b/>
          <w:color w:val="0F2E5A"/>
          <w:sz w:val="20"/>
        </w:rPr>
        <w:t xml:space="preserve">Server Hardware (Recommended): </w:t>
      </w:r>
      <w:r>
        <w:rPr>
          <w:rFonts w:ascii="Arial" w:hAnsi="Arial"/>
          <w:color w:val="334155"/>
          <w:sz w:val="20"/>
        </w:rPr>
        <w:t>Modern x86_64 CPU (Intel Core i5/i7/i9 or AMD Ryzen 5/7/9), 16 GB system RAM, NVIDIA GeForce RTX 3050/4050/3060 or higher with 4+ GB VRAM supporting CUDA 11.8+ or 12.x.</w:t>
      </w:r>
    </w:p>
    <w:p>
      <w:pPr>
        <w:pStyle w:val="ListBullet"/>
        <w:spacing w:before="20" w:after="60" w:line="276" w:lineRule="auto"/>
      </w:pPr>
      <w:r>
        <w:rPr>
          <w:rFonts w:ascii="Arial" w:hAnsi="Arial"/>
          <w:b/>
          <w:color w:val="0F2E5A"/>
          <w:sz w:val="20"/>
        </w:rPr>
        <w:t xml:space="preserve">Server Hardware (Minimum CPU Fallback): </w:t>
      </w:r>
      <w:r>
        <w:rPr>
          <w:rFonts w:ascii="Arial" w:hAnsi="Arial"/>
          <w:color w:val="334155"/>
          <w:sz w:val="20"/>
        </w:rPr>
        <w:t>4-core x86_64 CPU, 8 GB RAM, running inference via PyTorch CPU runtime.</w:t>
      </w:r>
    </w:p>
    <w:p>
      <w:pPr>
        <w:pStyle w:val="ListBullet"/>
        <w:spacing w:before="20" w:after="60" w:line="276" w:lineRule="auto"/>
      </w:pPr>
      <w:r>
        <w:rPr>
          <w:rFonts w:ascii="Arial" w:hAnsi="Arial"/>
          <w:b/>
          <w:color w:val="0F2E5A"/>
          <w:sz w:val="20"/>
        </w:rPr>
        <w:t xml:space="preserve">Database Environment: </w:t>
      </w:r>
      <w:r>
        <w:rPr>
          <w:rFonts w:ascii="Arial" w:hAnsi="Arial"/>
          <w:color w:val="334155"/>
          <w:sz w:val="20"/>
        </w:rPr>
        <w:t>PostgreSQL 18 deployed via Docker container (pgvector/pgvector:pg18 image) listening on port 5432.</w:t>
      </w:r>
    </w:p>
    <w:p>
      <w:pPr>
        <w:pStyle w:val="ListBullet"/>
        <w:spacing w:before="20" w:after="60" w:line="276" w:lineRule="auto"/>
      </w:pPr>
      <w:r>
        <w:rPr>
          <w:rFonts w:ascii="Arial" w:hAnsi="Arial"/>
          <w:b/>
          <w:color w:val="0F2E5A"/>
          <w:sz w:val="20"/>
        </w:rPr>
        <w:t xml:space="preserve">Client Execution Environment: </w:t>
      </w:r>
      <w:r>
        <w:rPr>
          <w:rFonts w:ascii="Arial" w:hAnsi="Arial"/>
          <w:color w:val="334155"/>
          <w:sz w:val="20"/>
        </w:rPr>
        <w:t>Modern Evergreen web browser (Google Chrome 115+, Mozilla Firefox 115+, Microsoft Edge 115+, Apple Safari 16+) with ECMAScript 2022 and HTML5 Canvas support.</w:t>
      </w:r>
    </w:p>
    <w:p>
      <w:pPr>
        <w:keepNext/>
        <w:spacing w:before="240" w:after="80"/>
      </w:pPr>
      <w:r>
        <w:rPr>
          <w:rFonts w:ascii="Arial" w:hAnsi="Arial"/>
          <w:b/>
          <w:color w:val="0F2E5A"/>
          <w:sz w:val="25"/>
        </w:rPr>
        <w:t>2.5 Design and Implementation Constraints</w:t>
      </w:r>
    </w:p>
    <w:p>
      <w:r>
        <w:t>Development and operational deployment are governed by the following technical constraints:</w:t>
      </w:r>
    </w:p>
    <w:p>
      <w:pPr>
        <w:pStyle w:val="ListBullet"/>
        <w:spacing w:before="20" w:after="60" w:line="276" w:lineRule="auto"/>
      </w:pPr>
      <w:r>
        <w:rPr>
          <w:rFonts w:ascii="Arial" w:hAnsi="Arial"/>
          <w:b/>
          <w:color w:val="0F2E5A"/>
          <w:sz w:val="20"/>
        </w:rPr>
        <w:t xml:space="preserve">Zero Cloud Cost Mandate: </w:t>
      </w:r>
      <w:r>
        <w:rPr>
          <w:rFonts w:ascii="Arial" w:hAnsi="Arial"/>
          <w:color w:val="334155"/>
          <w:sz w:val="20"/>
        </w:rPr>
        <w:t>The system must operate autonomously without requiring ongoing paid subscription APIs (e.g., OpenAI, AWS Rekognition, Google Cloud Vision). All neural model weights and databases must run on locally controlled infrastructure.</w:t>
      </w:r>
    </w:p>
    <w:p>
      <w:pPr>
        <w:pStyle w:val="ListBullet"/>
        <w:spacing w:before="20" w:after="60" w:line="276" w:lineRule="auto"/>
      </w:pPr>
      <w:r>
        <w:rPr>
          <w:rFonts w:ascii="Arial" w:hAnsi="Arial"/>
          <w:b/>
          <w:color w:val="0F2E5A"/>
          <w:sz w:val="20"/>
        </w:rPr>
        <w:t xml:space="preserve">Model Taxonomy Restriction: </w:t>
      </w:r>
      <w:r>
        <w:rPr>
          <w:rFonts w:ascii="Arial" w:hAnsi="Arial"/>
          <w:color w:val="334155"/>
          <w:sz w:val="20"/>
        </w:rPr>
        <w:t>The vision model is strictly constrained to the 22 classes defined in the TrashCan v2 ontology. Targets outside this taxonomy are classified under 'trash_unknown_instance' or ignored.</w:t>
      </w:r>
    </w:p>
    <w:p>
      <w:pPr>
        <w:pStyle w:val="ListBullet"/>
        <w:spacing w:before="20" w:after="60" w:line="276" w:lineRule="auto"/>
      </w:pPr>
      <w:r>
        <w:rPr>
          <w:rFonts w:ascii="Arial" w:hAnsi="Arial"/>
          <w:b/>
          <w:color w:val="0F2E5A"/>
          <w:sz w:val="20"/>
        </w:rPr>
        <w:t xml:space="preserve">Memory Budget &amp; In-Memory Loading: </w:t>
      </w:r>
      <w:r>
        <w:rPr>
          <w:rFonts w:ascii="Arial" w:hAnsi="Arial"/>
          <w:color w:val="334155"/>
          <w:sz w:val="20"/>
        </w:rPr>
        <w:t>The D-FINE HGNetV2-L model must remain continuously pinned in GPU/host memory upon application launch to prevent disk-load latency overhead on successive requests.</w:t>
      </w:r>
    </w:p>
    <w:p>
      <w:pPr>
        <w:pStyle w:val="ListBullet"/>
        <w:spacing w:before="20" w:after="60" w:line="276" w:lineRule="auto"/>
      </w:pPr>
      <w:r>
        <w:rPr>
          <w:rFonts w:ascii="Arial" w:hAnsi="Arial"/>
          <w:b/>
          <w:color w:val="0F2E5A"/>
          <w:sz w:val="20"/>
        </w:rPr>
        <w:t xml:space="preserve">60-30-10 UI/UX Architecture: </w:t>
      </w:r>
      <w:r>
        <w:rPr>
          <w:rFonts w:ascii="Arial" w:hAnsi="Arial"/>
          <w:color w:val="334155"/>
          <w:sz w:val="20"/>
        </w:rPr>
        <w:t>The frontend design system must strictly adhere to the 60-30-10 color rule: 60% dominant white canvas, 30% deep marine ocean blue structures, and 10% eco-emerald green accents.</w:t>
      </w:r>
    </w:p>
    <w:p>
      <w:pPr>
        <w:keepNext/>
        <w:spacing w:before="240" w:after="80"/>
      </w:pPr>
      <w:r>
        <w:rPr>
          <w:rFonts w:ascii="Arial" w:hAnsi="Arial"/>
          <w:b/>
          <w:color w:val="0F2E5A"/>
          <w:sz w:val="25"/>
        </w:rPr>
        <w:t>2.6 User Documentation</w:t>
      </w:r>
    </w:p>
    <w:p>
      <w:r>
        <w:t>Blue Sentinel is delivered with comprehensive user and technical documentation, including:</w:t>
      </w:r>
    </w:p>
    <w:p>
      <w:pPr>
        <w:pStyle w:val="ListBullet"/>
        <w:spacing w:before="20" w:after="60" w:line="276" w:lineRule="auto"/>
      </w:pPr>
      <w:r>
        <w:rPr>
          <w:rFonts w:ascii="Arial" w:hAnsi="Arial"/>
          <w:b/>
          <w:color w:val="0F2E5A"/>
          <w:sz w:val="20"/>
        </w:rPr>
        <w:t xml:space="preserve">System README &amp; Deployment Manual: </w:t>
      </w:r>
      <w:r>
        <w:rPr>
          <w:rFonts w:ascii="Arial" w:hAnsi="Arial"/>
          <w:color w:val="334155"/>
          <w:sz w:val="20"/>
        </w:rPr>
        <w:t>Step-by-step installation instructions covering Docker compose database launching, Python virtual environment configuration, and Vite development server startup.</w:t>
      </w:r>
    </w:p>
    <w:p>
      <w:pPr>
        <w:pStyle w:val="ListBullet"/>
        <w:spacing w:before="20" w:after="60" w:line="276" w:lineRule="auto"/>
      </w:pPr>
      <w:r>
        <w:rPr>
          <w:rFonts w:ascii="Arial" w:hAnsi="Arial"/>
          <w:b/>
          <w:color w:val="0F2E5A"/>
          <w:sz w:val="20"/>
        </w:rPr>
        <w:t xml:space="preserve">Interactive Swagger API Documentation: </w:t>
      </w:r>
      <w:r>
        <w:rPr>
          <w:rFonts w:ascii="Arial" w:hAnsi="Arial"/>
          <w:color w:val="334155"/>
          <w:sz w:val="20"/>
        </w:rPr>
        <w:t>Auto-generated OpenAPI specification available at http://localhost:8000/docs for live testing and external integration.</w:t>
      </w:r>
    </w:p>
    <w:p>
      <w:pPr>
        <w:pStyle w:val="ListBullet"/>
        <w:spacing w:before="20" w:after="60" w:line="276" w:lineRule="auto"/>
      </w:pPr>
      <w:r>
        <w:rPr>
          <w:rFonts w:ascii="Arial" w:hAnsi="Arial"/>
          <w:b/>
          <w:color w:val="0F2E5A"/>
          <w:sz w:val="20"/>
        </w:rPr>
        <w:t xml:space="preserve">In-App Guidance &amp; Sample Triggers: </w:t>
      </w:r>
      <w:r>
        <w:rPr>
          <w:rFonts w:ascii="Arial" w:hAnsi="Arial"/>
          <w:color w:val="334155"/>
          <w:sz w:val="20"/>
        </w:rPr>
        <w:t>Contextual tooltips, severity badges, and one-click sample image buttons embedded directly into the ImageUploader component for instant onboarding.</w:t>
      </w:r>
    </w:p>
    <w:p>
      <w:pPr>
        <w:keepNext/>
        <w:spacing w:before="240" w:after="80"/>
      </w:pPr>
      <w:r>
        <w:rPr>
          <w:rFonts w:ascii="Arial" w:hAnsi="Arial"/>
          <w:b/>
          <w:color w:val="0F2E5A"/>
          <w:sz w:val="25"/>
        </w:rPr>
        <w:t>2.7 Assumptions and Dependencies</w:t>
      </w:r>
    </w:p>
    <w:p>
      <w:r>
        <w:t>The functional specifications are based on the following verified assumptions and dependencies:</w:t>
      </w:r>
    </w:p>
    <w:p>
      <w:pPr>
        <w:pStyle w:val="ListBullet"/>
        <w:spacing w:before="20" w:after="60" w:line="276" w:lineRule="auto"/>
      </w:pPr>
      <w:r>
        <w:rPr>
          <w:rFonts w:ascii="Arial" w:hAnsi="Arial"/>
          <w:b/>
          <w:color w:val="0F2E5A"/>
          <w:sz w:val="20"/>
        </w:rPr>
        <w:t xml:space="preserve">Optical Input Quality: </w:t>
      </w:r>
      <w:r>
        <w:rPr>
          <w:rFonts w:ascii="Arial" w:hAnsi="Arial"/>
          <w:color w:val="334155"/>
          <w:sz w:val="20"/>
        </w:rPr>
        <w:t>Images supplied by users are reasonably legible optical RGB images. While the model is trained on turbid, low-visibility underwater imagery, completely pitch-black or corrupted files cannot yield meaningful detections.</w:t>
      </w:r>
    </w:p>
    <w:p>
      <w:pPr>
        <w:pStyle w:val="ListBullet"/>
        <w:spacing w:before="20" w:after="60" w:line="276" w:lineRule="auto"/>
      </w:pPr>
      <w:r>
        <w:rPr>
          <w:rFonts w:ascii="Arial" w:hAnsi="Arial"/>
          <w:b/>
          <w:color w:val="0F2E5A"/>
          <w:sz w:val="20"/>
        </w:rPr>
        <w:t xml:space="preserve">Repository &amp; Weight Dependencies: </w:t>
      </w:r>
      <w:r>
        <w:rPr>
          <w:rFonts w:ascii="Arial" w:hAnsi="Arial"/>
          <w:color w:val="334155"/>
          <w:sz w:val="20"/>
        </w:rPr>
        <w:t>The server depends on internet access only during initial startup to download the RT-DETRv4 repository and fetch weights ('best.pth') from HuggingFace Hub ('coding-droid-123/trashcan-dfine'). Thereafter, full offline operation is maintained.</w:t>
      </w:r>
    </w:p>
    <w:p>
      <w:pPr>
        <w:pStyle w:val="ListBullet"/>
        <w:spacing w:before="20" w:after="60" w:line="276" w:lineRule="auto"/>
      </w:pPr>
      <w:r>
        <w:rPr>
          <w:rFonts w:ascii="Arial" w:hAnsi="Arial"/>
          <w:b/>
          <w:color w:val="0F2E5A"/>
          <w:sz w:val="20"/>
        </w:rPr>
        <w:t xml:space="preserve">Docker Daemon: </w:t>
      </w:r>
      <w:r>
        <w:rPr>
          <w:rFonts w:ascii="Arial" w:hAnsi="Arial"/>
          <w:color w:val="334155"/>
          <w:sz w:val="20"/>
        </w:rPr>
        <w:t>A running Docker daemon is assumed for hosting the PostgreSQL 18 container.</w:t>
      </w:r>
    </w:p>
    <w:p>
      <w:r>
        <w:br w:type="page"/>
      </w:r>
    </w:p>
    <w:p>
      <w:pPr>
        <w:keepNext/>
        <w:spacing w:before="320" w:after="120"/>
      </w:pPr>
      <w:r>
        <w:rPr>
          <w:rFonts w:ascii="Arial" w:hAnsi="Arial"/>
          <w:b/>
          <w:color w:val="0C2340"/>
          <w:sz w:val="32"/>
        </w:rPr>
        <w:t>3. External Interface Requirements</w:t>
      </w:r>
    </w:p>
    <w:p>
      <w:pPr>
        <w:keepNext/>
        <w:spacing w:before="240" w:after="80"/>
      </w:pPr>
      <w:r>
        <w:rPr>
          <w:rFonts w:ascii="Arial" w:hAnsi="Arial"/>
          <w:b/>
          <w:color w:val="0F2E5A"/>
          <w:sz w:val="25"/>
        </w:rPr>
        <w:t>3.1 User Interfaces</w:t>
      </w:r>
    </w:p>
    <w:p>
      <w:r>
        <w:t>The Blue Sentinel user interface is a responsive, single-page web application engineered in React 19. The interface incorporates the following core structural views and interactive controls:</w:t>
      </w:r>
    </w:p>
    <w:p>
      <w:pPr>
        <w:pStyle w:val="ListBullet"/>
        <w:spacing w:before="20" w:after="60" w:line="276" w:lineRule="auto"/>
      </w:pPr>
      <w:r>
        <w:rPr>
          <w:rFonts w:ascii="Arial" w:hAnsi="Arial"/>
          <w:b/>
          <w:color w:val="0F2E5A"/>
          <w:sz w:val="20"/>
        </w:rPr>
        <w:t xml:space="preserve">Navigation Header: </w:t>
      </w:r>
      <w:r>
        <w:rPr>
          <w:rFonts w:ascii="Arial" w:hAnsi="Arial"/>
          <w:color w:val="334155"/>
          <w:sz w:val="20"/>
        </w:rPr>
        <w:t>Persistent top bar featuring the Blue Sentinel brand logo, system status pulse indicator ('Live System Active'), and top-level routing between 'Audit Dashboard', 'Scan History', and 'About &amp; Architecture'.</w:t>
      </w:r>
    </w:p>
    <w:p>
      <w:pPr>
        <w:pStyle w:val="ListBullet"/>
        <w:spacing w:before="20" w:after="60" w:line="276" w:lineRule="auto"/>
      </w:pPr>
      <w:r>
        <w:rPr>
          <w:rFonts w:ascii="Arial" w:hAnsi="Arial"/>
          <w:b/>
          <w:color w:val="0F2E5A"/>
          <w:sz w:val="20"/>
        </w:rPr>
        <w:t xml:space="preserve">Image Upload Dropzone (ImageUploader): </w:t>
      </w:r>
      <w:r>
        <w:rPr>
          <w:rFonts w:ascii="Arial" w:hAnsi="Arial"/>
          <w:color w:val="334155"/>
          <w:sz w:val="20"/>
        </w:rPr>
        <w:t>A dashed drag-and-drop zone with instant file validation, optical preview thumbnail, clear/reselect actions, and 1-click sample image buttons (e.g., 'Coral Reef Debris', 'Harbor Net Entanglement', 'Deep Trench Plastic') for rapid validation.</w:t>
      </w:r>
    </w:p>
    <w:p>
      <w:pPr>
        <w:pStyle w:val="ListBullet"/>
        <w:spacing w:before="20" w:after="60" w:line="276" w:lineRule="auto"/>
      </w:pPr>
      <w:r>
        <w:rPr>
          <w:rFonts w:ascii="Arial" w:hAnsi="Arial"/>
          <w:b/>
          <w:color w:val="0F2E5A"/>
          <w:sz w:val="20"/>
        </w:rPr>
        <w:t xml:space="preserve">Geographic Metadata Widget: </w:t>
      </w:r>
      <w:r>
        <w:rPr>
          <w:rFonts w:ascii="Arial" w:hAnsi="Arial"/>
          <w:color w:val="334155"/>
          <w:sz w:val="20"/>
        </w:rPr>
        <w:t>Optional input fields allowing the user to specify coastal sector name, GPS latitude, and GPS longitude prior to submission.</w:t>
      </w:r>
    </w:p>
    <w:p>
      <w:pPr>
        <w:pStyle w:val="ListBullet"/>
        <w:spacing w:before="20" w:after="60" w:line="276" w:lineRule="auto"/>
      </w:pPr>
      <w:r>
        <w:rPr>
          <w:rFonts w:ascii="Arial" w:hAnsi="Arial"/>
          <w:b/>
          <w:color w:val="0F2E5A"/>
          <w:sz w:val="20"/>
        </w:rPr>
        <w:t xml:space="preserve">Interactive Detection Canvas (DetectionPanel): </w:t>
      </w:r>
      <w:r>
        <w:rPr>
          <w:rFonts w:ascii="Arial" w:hAnsi="Arial"/>
          <w:color w:val="334155"/>
          <w:sz w:val="20"/>
        </w:rPr>
        <w:t>Dynamic visual display rendering the high-resolution input image with color-coded bounding boxes and confidence badges. Includes a dynamic Confidence Threshold Slider (10% to 90%) and category-specific toggle filters.</w:t>
      </w:r>
    </w:p>
    <w:p>
      <w:pPr>
        <w:pStyle w:val="ListBullet"/>
        <w:spacing w:before="20" w:after="60" w:line="276" w:lineRule="auto"/>
      </w:pPr>
      <w:r>
        <w:rPr>
          <w:rFonts w:ascii="Arial" w:hAnsi="Arial"/>
          <w:b/>
          <w:color w:val="0F2E5A"/>
          <w:sz w:val="20"/>
        </w:rPr>
        <w:t xml:space="preserve">Ecological Threat Meter &amp; Debris Tally: </w:t>
      </w:r>
      <w:r>
        <w:rPr>
          <w:rFonts w:ascii="Arial" w:hAnsi="Arial"/>
          <w:color w:val="334155"/>
          <w:sz w:val="20"/>
        </w:rPr>
        <w:t>A structured summary panel displaying total objects found, breakdown by category, and an animated ecological threat severity meter (Critical, High, Medium, Low).</w:t>
      </w:r>
    </w:p>
    <w:p>
      <w:pPr>
        <w:pStyle w:val="ListBullet"/>
        <w:spacing w:before="20" w:after="60" w:line="276" w:lineRule="auto"/>
      </w:pPr>
      <w:r>
        <w:rPr>
          <w:rFonts w:ascii="Arial" w:hAnsi="Arial"/>
          <w:b/>
          <w:color w:val="0F2E5A"/>
          <w:sz w:val="20"/>
        </w:rPr>
        <w:t xml:space="preserve">Formal Audit Modal (ReportPanel): </w:t>
      </w:r>
      <w:r>
        <w:rPr>
          <w:rFonts w:ascii="Arial" w:hAnsi="Arial"/>
          <w:color w:val="334155"/>
          <w:sz w:val="20"/>
        </w:rPr>
        <w:t>An official, print-ready modal displaying inspection metadata, audit batch ID, visual canvas thumbnail, full category census table, ecological threat score, and suggested mitigation equipment. Features 'Print Audit' and 'Download PDF' triggers.</w:t>
      </w:r>
    </w:p>
    <w:p>
      <w:pPr>
        <w:keepNext/>
        <w:spacing w:before="240" w:after="80"/>
      </w:pPr>
      <w:r>
        <w:rPr>
          <w:rFonts w:ascii="Arial" w:hAnsi="Arial"/>
          <w:b/>
          <w:color w:val="0F2E5A"/>
          <w:sz w:val="25"/>
        </w:rPr>
        <w:t>3.2 Hardware Interfaces</w:t>
      </w:r>
    </w:p>
    <w:p>
      <w:r>
        <w:t>Blue Sentinel interfaces with standard computer hardware without requiring proprietary physical devices:</w:t>
      </w:r>
    </w:p>
    <w:p>
      <w:pPr>
        <w:pStyle w:val="ListBullet"/>
        <w:spacing w:before="20" w:after="60" w:line="276" w:lineRule="auto"/>
      </w:pPr>
      <w:r>
        <w:rPr>
          <w:rFonts w:ascii="Arial" w:hAnsi="Arial"/>
          <w:b/>
          <w:color w:val="0F2E5A"/>
          <w:sz w:val="20"/>
        </w:rPr>
        <w:t xml:space="preserve">Processing Hardware: </w:t>
      </w:r>
      <w:r>
        <w:rPr>
          <w:rFonts w:ascii="Arial" w:hAnsi="Arial"/>
          <w:color w:val="334155"/>
          <w:sz w:val="20"/>
        </w:rPr>
        <w:t>Communicates with x86_64 host processors and NVIDIA CUDA compute accelerators via the PyTorch tensor engine and CUDA 11.8/12.x drivers.</w:t>
      </w:r>
    </w:p>
    <w:p>
      <w:pPr>
        <w:pStyle w:val="ListBullet"/>
        <w:spacing w:before="20" w:after="60" w:line="276" w:lineRule="auto"/>
      </w:pPr>
      <w:r>
        <w:rPr>
          <w:rFonts w:ascii="Arial" w:hAnsi="Arial"/>
          <w:b/>
          <w:color w:val="0F2E5A"/>
          <w:sz w:val="20"/>
        </w:rPr>
        <w:t xml:space="preserve">Memory &amp; Storage Subsystem: </w:t>
      </w:r>
      <w:r>
        <w:rPr>
          <w:rFonts w:ascii="Arial" w:hAnsi="Arial"/>
          <w:color w:val="334155"/>
          <w:sz w:val="20"/>
        </w:rPr>
        <w:t>Interfaces with standard NVMe/SATA SSDs for static JPEG caching (/uploads/) and Docker container volume persistence.</w:t>
      </w:r>
    </w:p>
    <w:p>
      <w:pPr>
        <w:pStyle w:val="ListBullet"/>
        <w:spacing w:before="20" w:after="60" w:line="276" w:lineRule="auto"/>
      </w:pPr>
      <w:r>
        <w:rPr>
          <w:rFonts w:ascii="Arial" w:hAnsi="Arial"/>
          <w:b/>
          <w:color w:val="0F2E5A"/>
          <w:sz w:val="20"/>
        </w:rPr>
        <w:t xml:space="preserve">Display Devices: </w:t>
      </w:r>
      <w:r>
        <w:rPr>
          <w:rFonts w:ascii="Arial" w:hAnsi="Arial"/>
          <w:color w:val="334155"/>
          <w:sz w:val="20"/>
        </w:rPr>
        <w:t>Supports all standard digital displays ranging from mobile/tablet viewports (375px+) to ultra-wide desktop monitors (1920x1080 and 4K) using responsive CSS flexbox/grid.</w:t>
      </w:r>
    </w:p>
    <w:p>
      <w:pPr>
        <w:keepNext/>
        <w:spacing w:before="240" w:after="80"/>
      </w:pPr>
      <w:r>
        <w:rPr>
          <w:rFonts w:ascii="Arial" w:hAnsi="Arial"/>
          <w:b/>
          <w:color w:val="0F2E5A"/>
          <w:sz w:val="25"/>
        </w:rPr>
        <w:t>3.3 Software Interfaces</w:t>
      </w:r>
    </w:p>
    <w:p>
      <w:r>
        <w:t>The software architecture interfaces between multiple software libraries, runtimes, and databases:</w:t>
      </w:r>
    </w:p>
    <w:p>
      <w:pPr>
        <w:pStyle w:val="ListBullet"/>
        <w:spacing w:before="20" w:after="60" w:line="276" w:lineRule="auto"/>
      </w:pPr>
      <w:r>
        <w:rPr>
          <w:rFonts w:ascii="Arial" w:hAnsi="Arial"/>
          <w:b/>
          <w:color w:val="0F2E5A"/>
          <w:sz w:val="20"/>
        </w:rPr>
        <w:t xml:space="preserve">FastAPI &amp; Uvicorn: </w:t>
      </w:r>
      <w:r>
        <w:rPr>
          <w:rFonts w:ascii="Arial" w:hAnsi="Arial"/>
          <w:color w:val="334155"/>
          <w:sz w:val="20"/>
        </w:rPr>
        <w:t>Asynchronous ASGI web server providing routing, CORS middleware, multipart request parsing, and JSON serialization.</w:t>
      </w:r>
    </w:p>
    <w:p>
      <w:pPr>
        <w:pStyle w:val="ListBullet"/>
        <w:spacing w:before="20" w:after="60" w:line="276" w:lineRule="auto"/>
      </w:pPr>
      <w:r>
        <w:rPr>
          <w:rFonts w:ascii="Arial" w:hAnsi="Arial"/>
          <w:b/>
          <w:color w:val="0F2E5A"/>
          <w:sz w:val="20"/>
        </w:rPr>
        <w:t xml:space="preserve">PyTorch &amp; Torchvision: </w:t>
      </w:r>
      <w:r>
        <w:rPr>
          <w:rFonts w:ascii="Arial" w:hAnsi="Arial"/>
          <w:color w:val="334155"/>
          <w:sz w:val="20"/>
        </w:rPr>
        <w:t>Deep learning execution runtime handling image resizing (640x640), normalization, CUDA FP16 tensor casting, and forward inference.</w:t>
      </w:r>
    </w:p>
    <w:p>
      <w:pPr>
        <w:pStyle w:val="ListBullet"/>
        <w:spacing w:before="20" w:after="60" w:line="276" w:lineRule="auto"/>
      </w:pPr>
      <w:r>
        <w:rPr>
          <w:rFonts w:ascii="Arial" w:hAnsi="Arial"/>
          <w:b/>
          <w:color w:val="0F2E5A"/>
          <w:sz w:val="20"/>
        </w:rPr>
        <w:t xml:space="preserve">D-FINE (HGNetV2-L) Core Engine: </w:t>
      </w:r>
      <w:r>
        <w:rPr>
          <w:rFonts w:ascii="Arial" w:hAnsi="Arial"/>
          <w:color w:val="334155"/>
          <w:sz w:val="20"/>
        </w:rPr>
        <w:t>Deployed RT-DETRv4 architecture wrapping high-performance HybridEncoder and multi-scale postprocessors.</w:t>
      </w:r>
    </w:p>
    <w:p>
      <w:pPr>
        <w:pStyle w:val="ListBullet"/>
        <w:spacing w:before="20" w:after="60" w:line="276" w:lineRule="auto"/>
      </w:pPr>
      <w:r>
        <w:rPr>
          <w:rFonts w:ascii="Arial" w:hAnsi="Arial"/>
          <w:b/>
          <w:color w:val="0F2E5A"/>
          <w:sz w:val="20"/>
        </w:rPr>
        <w:t xml:space="preserve">PostgreSQL 18 &amp; pgvector: </w:t>
      </w:r>
      <w:r>
        <w:rPr>
          <w:rFonts w:ascii="Arial" w:hAnsi="Arial"/>
          <w:color w:val="334155"/>
          <w:sz w:val="20"/>
        </w:rPr>
        <w:t>Relational database accessed asynchronously via SQLAlchemy 2.0 and asyncpg, storing relational records and 512-dimension vector embeddings.</w:t>
      </w:r>
    </w:p>
    <w:p>
      <w:pPr>
        <w:pStyle w:val="ListBullet"/>
        <w:spacing w:before="20" w:after="60" w:line="276" w:lineRule="auto"/>
      </w:pPr>
      <w:r>
        <w:rPr>
          <w:rFonts w:ascii="Arial" w:hAnsi="Arial"/>
          <w:b/>
          <w:color w:val="0F2E5A"/>
          <w:sz w:val="20"/>
        </w:rPr>
        <w:t xml:space="preserve">Pillow (PIL): </w:t>
      </w:r>
      <w:r>
        <w:rPr>
          <w:rFonts w:ascii="Arial" w:hAnsi="Arial"/>
          <w:color w:val="334155"/>
          <w:sz w:val="20"/>
        </w:rPr>
        <w:t>Image manipulation library executing server-side bounding box rasterization and JPEG compression.</w:t>
      </w:r>
    </w:p>
    <w:p>
      <w:pPr>
        <w:pStyle w:val="ListBullet"/>
        <w:spacing w:before="20" w:after="60" w:line="276" w:lineRule="auto"/>
      </w:pPr>
      <w:r>
        <w:rPr>
          <w:rFonts w:ascii="Arial" w:hAnsi="Arial"/>
          <w:b/>
          <w:color w:val="0F2E5A"/>
          <w:sz w:val="20"/>
        </w:rPr>
        <w:t xml:space="preserve">HuggingFace Hub SDK: </w:t>
      </w:r>
      <w:r>
        <w:rPr>
          <w:rFonts w:ascii="Arial" w:hAnsi="Arial"/>
          <w:color w:val="334155"/>
          <w:sz w:val="20"/>
        </w:rPr>
        <w:t>Model repository interface performing automated checkpoint fetching on initial deployment.</w:t>
      </w:r>
    </w:p>
    <w:p>
      <w:pPr>
        <w:keepNext/>
        <w:spacing w:before="240" w:after="80"/>
      </w:pPr>
      <w:r>
        <w:rPr>
          <w:rFonts w:ascii="Arial" w:hAnsi="Arial"/>
          <w:b/>
          <w:color w:val="0F2E5A"/>
          <w:sz w:val="25"/>
        </w:rPr>
        <w:t>3.4 Communications Interfaces</w:t>
      </w:r>
    </w:p>
    <w:p>
      <w:r>
        <w:t>The system communicates across local and network boundaries using standardized protocols:</w:t>
      </w:r>
    </w:p>
    <w:p>
      <w:pPr>
        <w:pStyle w:val="ListBullet"/>
        <w:spacing w:before="20" w:after="60" w:line="276" w:lineRule="auto"/>
      </w:pPr>
      <w:r>
        <w:rPr>
          <w:rFonts w:ascii="Arial" w:hAnsi="Arial"/>
          <w:b/>
          <w:color w:val="0F2E5A"/>
          <w:sz w:val="20"/>
        </w:rPr>
        <w:t xml:space="preserve">HTTP / HTTPS: </w:t>
      </w:r>
      <w:r>
        <w:rPr>
          <w:rFonts w:ascii="Arial" w:hAnsi="Arial"/>
          <w:color w:val="334155"/>
          <w:sz w:val="20"/>
        </w:rPr>
        <w:t>All client-to-server interactions operate over HTTP/1.1 or HTTP/2 via REST endpoints.</w:t>
      </w:r>
    </w:p>
    <w:p>
      <w:pPr>
        <w:pStyle w:val="ListBullet"/>
        <w:spacing w:before="20" w:after="60" w:line="276" w:lineRule="auto"/>
      </w:pPr>
      <w:r>
        <w:rPr>
          <w:rFonts w:ascii="Arial" w:hAnsi="Arial"/>
          <w:b/>
          <w:color w:val="0F2E5A"/>
          <w:sz w:val="20"/>
        </w:rPr>
        <w:t xml:space="preserve">Multipart/Form-Data: </w:t>
      </w:r>
      <w:r>
        <w:rPr>
          <w:rFonts w:ascii="Arial" w:hAnsi="Arial"/>
          <w:color w:val="334155"/>
          <w:sz w:val="20"/>
        </w:rPr>
        <w:t>Binary image payloads are uploaded via RFC 7578 multipart form requests.</w:t>
      </w:r>
    </w:p>
    <w:p>
      <w:pPr>
        <w:pStyle w:val="ListBullet"/>
        <w:spacing w:before="20" w:after="60" w:line="276" w:lineRule="auto"/>
      </w:pPr>
      <w:r>
        <w:rPr>
          <w:rFonts w:ascii="Arial" w:hAnsi="Arial"/>
          <w:b/>
          <w:color w:val="0F2E5A"/>
          <w:sz w:val="20"/>
        </w:rPr>
        <w:t xml:space="preserve">JSON Payload Format: </w:t>
      </w:r>
      <w:r>
        <w:rPr>
          <w:rFonts w:ascii="Arial" w:hAnsi="Arial"/>
          <w:color w:val="334155"/>
          <w:sz w:val="20"/>
        </w:rPr>
        <w:t>All detection metrics, bounding box coordinates, scan histories, and aggregate statistics are transmitted as standardized UTF-8 JSON objects.</w:t>
      </w:r>
    </w:p>
    <w:p>
      <w:pPr>
        <w:pStyle w:val="ListBullet"/>
        <w:spacing w:before="20" w:after="60" w:line="276" w:lineRule="auto"/>
      </w:pPr>
      <w:r>
        <w:rPr>
          <w:rFonts w:ascii="Arial" w:hAnsi="Arial"/>
          <w:b/>
          <w:color w:val="0F2E5A"/>
          <w:sz w:val="20"/>
        </w:rPr>
        <w:t xml:space="preserve">Cross-Origin Resource Sharing (CORS): </w:t>
      </w:r>
      <w:r>
        <w:rPr>
          <w:rFonts w:ascii="Arial" w:hAnsi="Arial"/>
          <w:color w:val="334155"/>
          <w:sz w:val="20"/>
        </w:rPr>
        <w:t>Configured to allow secure cross-origin requests between the Vite frontend (port 5173) and FastAPI backend (port 8000).</w:t>
      </w:r>
    </w:p>
    <w:p>
      <w:r>
        <w:br w:type="page"/>
      </w:r>
    </w:p>
    <w:p>
      <w:pPr>
        <w:keepNext/>
        <w:spacing w:before="320" w:after="120"/>
      </w:pPr>
      <w:r>
        <w:rPr>
          <w:rFonts w:ascii="Arial" w:hAnsi="Arial"/>
          <w:b/>
          <w:color w:val="0C2340"/>
          <w:sz w:val="32"/>
        </w:rPr>
        <w:t>4. System Features</w:t>
      </w:r>
    </w:p>
    <w:p>
      <w:pPr>
        <w:keepNext/>
        <w:spacing w:before="240" w:after="80"/>
      </w:pPr>
      <w:r>
        <w:rPr>
          <w:rFonts w:ascii="Arial" w:hAnsi="Arial"/>
          <w:b/>
          <w:color w:val="0F2E5A"/>
          <w:sz w:val="25"/>
        </w:rPr>
        <w:t>4.1 Deep Learning Marine Debris &amp; Biodiversity Inference</w:t>
      </w:r>
    </w:p>
    <w:p>
      <w:pPr>
        <w:keepNext/>
        <w:spacing w:before="160" w:after="60"/>
      </w:pPr>
      <w:r>
        <w:rPr>
          <w:rFonts w:ascii="Arial" w:hAnsi="Arial"/>
          <w:b/>
          <w:color w:val="1E293B"/>
          <w:sz w:val="21"/>
        </w:rPr>
        <w:t>4.1.1 Description and Priority</w:t>
      </w:r>
    </w:p>
    <w:p>
      <w:r>
        <w:t>Blue Sentinel provides automated, real-time object detection and localization on underwater optical imagery using a fine-tuned D-FINE (HGNetV2-L) Real-Time Detection Transformer. The model processes images at 640x640 resolution, identifies targets across the 22-class TrashCan v2 ontology, and predicts precise bounding box coordinates with confidence scores.</w:t>
      </w:r>
    </w:p>
    <w:p>
      <w:pPr>
        <w:spacing w:after="80"/>
      </w:pPr>
      <w:r>
        <w:t>Priority: High | Benefit: 9 | Penalty: 9 | Cost: 6 | Risk: 4</w:t>
      </w:r>
    </w:p>
    <w:p>
      <w:pPr>
        <w:keepNext/>
        <w:spacing w:before="160" w:after="60"/>
      </w:pPr>
      <w:r>
        <w:rPr>
          <w:rFonts w:ascii="Arial" w:hAnsi="Arial"/>
          <w:b/>
          <w:color w:val="1E293B"/>
          <w:sz w:val="21"/>
        </w:rPr>
        <w:t>4.1.2 Stimulus/Response Sequences</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selects or drops an underwater RGB image into the ImageUploader dropzone and clicks 'Run Deep Detection'.</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Frontend displays a dual-ring animated LoadingOverlay with progress messaging ('Ingesting optical frame...', 'Running neural inference...').</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Backend receives the multipart HTTP POST request at /detect.</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Backend validates the file format, converts the image to 640x640 tensor format, executes FP16 D-FINE inference on GPU/CPU, rasterizes bounding boxes, commits records to PostgreSQL, and returns detections JSON and base64 image.</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Frontend receives HTTP 200 JSON response.</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LoadingOverlay dismisses, DetectionPanel mounts, rendering the annotated image canvas, bounding box list, and threat score.</w:t>
      </w:r>
    </w:p>
    <w:p>
      <w:pPr>
        <w:keepNext/>
        <w:spacing w:before="160" w:after="60"/>
      </w:pPr>
      <w:r>
        <w:rPr>
          <w:rFonts w:ascii="Arial" w:hAnsi="Arial"/>
          <w:b/>
          <w:color w:val="1E293B"/>
          <w:sz w:val="21"/>
        </w:rPr>
        <w:t>4.1.3 Functional Requirements</w:t>
      </w:r>
    </w:p>
    <w:p>
      <w:pPr>
        <w:pStyle w:val="ListBullet"/>
        <w:spacing w:before="20" w:after="60" w:line="276" w:lineRule="auto"/>
      </w:pPr>
      <w:r>
        <w:rPr>
          <w:rFonts w:ascii="Arial" w:hAnsi="Arial"/>
          <w:b/>
          <w:color w:val="0F2E5A"/>
          <w:sz w:val="20"/>
        </w:rPr>
        <w:t xml:space="preserve">REQ-INF-1 (Input Image Validation): </w:t>
      </w:r>
      <w:r>
        <w:rPr>
          <w:rFonts w:ascii="Arial" w:hAnsi="Arial"/>
          <w:color w:val="334155"/>
          <w:sz w:val="20"/>
        </w:rPr>
        <w:t>The system shall validate that submitted files are valid image formats (JPEG, PNG, WEBP) and reject invalid or corrupted files with HTTP 400 and a descriptive error message.</w:t>
      </w:r>
    </w:p>
    <w:p>
      <w:pPr>
        <w:pStyle w:val="ListBullet"/>
        <w:spacing w:before="20" w:after="60" w:line="276" w:lineRule="auto"/>
      </w:pPr>
      <w:r>
        <w:rPr>
          <w:rFonts w:ascii="Arial" w:hAnsi="Arial"/>
          <w:b/>
          <w:color w:val="0F2E5A"/>
          <w:sz w:val="20"/>
        </w:rPr>
        <w:t xml:space="preserve">REQ-INF-2 (Tensor Transformation): </w:t>
      </w:r>
      <w:r>
        <w:rPr>
          <w:rFonts w:ascii="Arial" w:hAnsi="Arial"/>
          <w:color w:val="334155"/>
          <w:sz w:val="20"/>
        </w:rPr>
        <w:t>The system shall normalize and resize ingested images to a uniform 640x640 tensor structure using bilinear interpolation prior to neural inference.</w:t>
      </w:r>
    </w:p>
    <w:p>
      <w:pPr>
        <w:pStyle w:val="ListBullet"/>
        <w:spacing w:before="20" w:after="60" w:line="276" w:lineRule="auto"/>
      </w:pPr>
      <w:r>
        <w:rPr>
          <w:rFonts w:ascii="Arial" w:hAnsi="Arial"/>
          <w:b/>
          <w:color w:val="0F2E5A"/>
          <w:sz w:val="20"/>
        </w:rPr>
        <w:t xml:space="preserve">REQ-INF-3 (Precision Autocasting): </w:t>
      </w:r>
      <w:r>
        <w:rPr>
          <w:rFonts w:ascii="Arial" w:hAnsi="Arial"/>
          <w:color w:val="334155"/>
          <w:sz w:val="20"/>
        </w:rPr>
        <w:t>The system shall automatically utilize PyTorch CUDA float16 (FP16) mixed precision when a CUDA-enabled GPU is detected, reducing memory footprint and accelerating inference.</w:t>
      </w:r>
    </w:p>
    <w:p>
      <w:pPr>
        <w:pStyle w:val="ListBullet"/>
        <w:spacing w:before="20" w:after="60" w:line="276" w:lineRule="auto"/>
      </w:pPr>
      <w:r>
        <w:rPr>
          <w:rFonts w:ascii="Arial" w:hAnsi="Arial"/>
          <w:b/>
          <w:color w:val="0F2E5A"/>
          <w:sz w:val="20"/>
        </w:rPr>
        <w:t xml:space="preserve">REQ-INF-4 (Multi-Class Categorization): </w:t>
      </w:r>
      <w:r>
        <w:rPr>
          <w:rFonts w:ascii="Arial" w:hAnsi="Arial"/>
          <w:color w:val="334155"/>
          <w:sz w:val="20"/>
        </w:rPr>
        <w:t>The system shall classify all detected items into the 22 standardized TrashCan v2 categories (rov, plant, animal_fish, animal_starfish, animal_shells, animal_crab, animal_eel, animal_etc, trash_clothing, trash_pipe, trash_bottle, trash_bag, trash_snack_wrapper, trash_can, trash_cup, trash_container, trash_unknown_instance, trash_branch, trash_wreckage, trash_tarp, trash_rope, trash_net).</w:t>
      </w:r>
    </w:p>
    <w:p>
      <w:pPr>
        <w:pStyle w:val="ListBullet"/>
        <w:spacing w:before="20" w:after="60" w:line="276" w:lineRule="auto"/>
      </w:pPr>
      <w:r>
        <w:rPr>
          <w:rFonts w:ascii="Arial" w:hAnsi="Arial"/>
          <w:b/>
          <w:color w:val="0F2E5A"/>
          <w:sz w:val="20"/>
        </w:rPr>
        <w:t xml:space="preserve">REQ-INF-5 (Bounding Box Normalization): </w:t>
      </w:r>
      <w:r>
        <w:rPr>
          <w:rFonts w:ascii="Arial" w:hAnsi="Arial"/>
          <w:color w:val="334155"/>
          <w:sz w:val="20"/>
        </w:rPr>
        <w:t>The system shall compute exact pixel bounding coordinates [x1, y1, x2, y2] mapped back to the original image dimensions.</w:t>
      </w:r>
    </w:p>
    <w:p>
      <w:pPr>
        <w:keepNext/>
        <w:spacing w:before="240" w:after="80"/>
      </w:pPr>
      <w:r>
        <w:rPr>
          <w:rFonts w:ascii="Arial" w:hAnsi="Arial"/>
          <w:b/>
          <w:color w:val="0F2E5A"/>
          <w:sz w:val="25"/>
        </w:rPr>
        <w:t>4.2 Interactive Spatial Annotation &amp; Threat Meter Visualization</w:t>
      </w:r>
    </w:p>
    <w:p>
      <w:pPr>
        <w:keepNext/>
        <w:spacing w:before="160" w:after="60"/>
      </w:pPr>
      <w:r>
        <w:rPr>
          <w:rFonts w:ascii="Arial" w:hAnsi="Arial"/>
          <w:b/>
          <w:color w:val="1E293B"/>
          <w:sz w:val="21"/>
        </w:rPr>
        <w:t>4.2.1 Description and Priority</w:t>
      </w:r>
    </w:p>
    <w:p>
      <w:r>
        <w:t>Provides an interactive visual inspection workspace where users examine classified targets, dynamically adjust confidence thresholds, toggle category filters, and inspect localized ecological threat meters in real time.</w:t>
      </w:r>
    </w:p>
    <w:p>
      <w:pPr>
        <w:spacing w:after="80"/>
      </w:pPr>
      <w:r>
        <w:t>Priority: High | Benefit: 8 | Penalty: 7 | Cost: 4 | Risk: 2</w:t>
      </w:r>
    </w:p>
    <w:p>
      <w:pPr>
        <w:keepNext/>
        <w:spacing w:before="160" w:after="60"/>
      </w:pPr>
      <w:r>
        <w:rPr>
          <w:rFonts w:ascii="Arial" w:hAnsi="Arial"/>
          <w:b/>
          <w:color w:val="1E293B"/>
          <w:sz w:val="21"/>
        </w:rPr>
        <w:t>4.2.2 Stimulus/Response Sequences</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adjusts the client-side Confidence Threshold Slider from 40% to 70%.</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Frontend dynamically re-filters detection overlays on the HTML5 canvas, instantly updating visible bounding boxes and recalculating the total tally without network latency.</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clicks a specific class badge (e.g., 'trash_net') in the detection breakdown list.</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Canvas highlights the matching bounding boxes with high-contrast pulsing borders while dimming unrelated targets.</w:t>
      </w:r>
    </w:p>
    <w:p>
      <w:pPr>
        <w:keepNext/>
        <w:spacing w:before="160" w:after="60"/>
      </w:pPr>
      <w:r>
        <w:rPr>
          <w:rFonts w:ascii="Arial" w:hAnsi="Arial"/>
          <w:b/>
          <w:color w:val="1E293B"/>
          <w:sz w:val="21"/>
        </w:rPr>
        <w:t>4.2.3 Functional Requirements</w:t>
      </w:r>
    </w:p>
    <w:p>
      <w:pPr>
        <w:pStyle w:val="ListBullet"/>
        <w:spacing w:before="20" w:after="60" w:line="276" w:lineRule="auto"/>
      </w:pPr>
      <w:r>
        <w:rPr>
          <w:rFonts w:ascii="Arial" w:hAnsi="Arial"/>
          <w:b/>
          <w:color w:val="0F2E5A"/>
          <w:sz w:val="20"/>
        </w:rPr>
        <w:t xml:space="preserve">REQ-UI-1 (Canvas Overlay Rendering): </w:t>
      </w:r>
      <w:r>
        <w:rPr>
          <w:rFonts w:ascii="Arial" w:hAnsi="Arial"/>
          <w:color w:val="334155"/>
          <w:sz w:val="20"/>
        </w:rPr>
        <w:t>The system shall render high-resolution bounding boxes with color-coded severity outlines (Red for Critical, Orange for High, Yellow for Medium, Green for Low/Organisms).</w:t>
      </w:r>
    </w:p>
    <w:p>
      <w:pPr>
        <w:pStyle w:val="ListBullet"/>
        <w:spacing w:before="20" w:after="60" w:line="276" w:lineRule="auto"/>
      </w:pPr>
      <w:r>
        <w:rPr>
          <w:rFonts w:ascii="Arial" w:hAnsi="Arial"/>
          <w:b/>
          <w:color w:val="0F2E5A"/>
          <w:sz w:val="20"/>
        </w:rPr>
        <w:t xml:space="preserve">REQ-UI-2 (Client-Side Threshold Adjustment): </w:t>
      </w:r>
      <w:r>
        <w:rPr>
          <w:rFonts w:ascii="Arial" w:hAnsi="Arial"/>
          <w:color w:val="334155"/>
          <w:sz w:val="20"/>
        </w:rPr>
        <w:t>The system shall provide a slider enabling real-time filtering of detections across a range of 0.10 to 0.90 confidence.</w:t>
      </w:r>
    </w:p>
    <w:p>
      <w:pPr>
        <w:pStyle w:val="ListBullet"/>
        <w:spacing w:before="20" w:after="60" w:line="276" w:lineRule="auto"/>
      </w:pPr>
      <w:r>
        <w:rPr>
          <w:rFonts w:ascii="Arial" w:hAnsi="Arial"/>
          <w:b/>
          <w:color w:val="0F2E5A"/>
          <w:sz w:val="20"/>
        </w:rPr>
        <w:t xml:space="preserve">REQ-UI-3 (Class Isolation &amp; Filtering): </w:t>
      </w:r>
      <w:r>
        <w:rPr>
          <w:rFonts w:ascii="Arial" w:hAnsi="Arial"/>
          <w:color w:val="334155"/>
          <w:sz w:val="20"/>
        </w:rPr>
        <w:t>The system shall allow users to toggle visibility of individual classes or broad groups (e.g., Debris Only vs. Marine Life Only).</w:t>
      </w:r>
    </w:p>
    <w:p>
      <w:pPr>
        <w:pStyle w:val="ListBullet"/>
        <w:spacing w:before="20" w:after="60" w:line="276" w:lineRule="auto"/>
      </w:pPr>
      <w:r>
        <w:rPr>
          <w:rFonts w:ascii="Arial" w:hAnsi="Arial"/>
          <w:b/>
          <w:color w:val="0F2E5A"/>
          <w:sz w:val="20"/>
        </w:rPr>
        <w:t xml:space="preserve">REQ-UI-4 (Ecological Threat Meter): </w:t>
      </w:r>
      <w:r>
        <w:rPr>
          <w:rFonts w:ascii="Arial" w:hAnsi="Arial"/>
          <w:color w:val="334155"/>
          <w:sz w:val="20"/>
        </w:rPr>
        <w:t>The system shall render a calibrated threat meter visually indicating cumulative ecological impact calculated from detected items.</w:t>
      </w:r>
    </w:p>
    <w:p>
      <w:pPr>
        <w:keepNext/>
        <w:spacing w:before="240" w:after="80"/>
      </w:pPr>
      <w:r>
        <w:rPr>
          <w:rFonts w:ascii="Arial" w:hAnsi="Arial"/>
          <w:b/>
          <w:color w:val="0F2E5A"/>
          <w:sz w:val="25"/>
        </w:rPr>
        <w:t>4.3 Geofencing &amp; Spatial-Relational Audit Persistence</w:t>
      </w:r>
    </w:p>
    <w:p>
      <w:pPr>
        <w:keepNext/>
        <w:spacing w:before="160" w:after="60"/>
      </w:pPr>
      <w:r>
        <w:rPr>
          <w:rFonts w:ascii="Arial" w:hAnsi="Arial"/>
          <w:b/>
          <w:color w:val="1E293B"/>
          <w:sz w:val="21"/>
        </w:rPr>
        <w:t>4.3.1 Description and Priority</w:t>
      </w:r>
    </w:p>
    <w:p>
      <w:r>
        <w:t>Enables persistent storage of image audit sessions, spatial metadata (GPS coordinates and named geofence sectors), individual detection records, and visual feature embeddings in a relational database.</w:t>
      </w:r>
    </w:p>
    <w:p>
      <w:pPr>
        <w:spacing w:after="80"/>
      </w:pPr>
      <w:r>
        <w:t>Priority: High | Benefit: 8 | Penalty: 8 | Cost: 5 | Risk: 3</w:t>
      </w:r>
    </w:p>
    <w:p>
      <w:pPr>
        <w:keepNext/>
        <w:spacing w:before="160" w:after="60"/>
      </w:pPr>
      <w:r>
        <w:rPr>
          <w:rFonts w:ascii="Arial" w:hAnsi="Arial"/>
          <w:b/>
          <w:color w:val="1E293B"/>
          <w:sz w:val="21"/>
        </w:rPr>
        <w:t>4.3.2 Stimulus/Response Sequences</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enters GPS coordinates (e.g., Lat: 24.550, Lon: -81.780) and Zone Name ('Key West Reef') and submits an image.</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Backend generates a unique UUID4 batch identifier, saves the annotated image to /uploads/{uuid}.jpg, and writes a parent record to scan_batches and child records to detections.</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requests historical scans at /history.</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Backend executes a paginated SQL query ordered by creation timestamp and returns JSON scan summaries.</w:t>
      </w:r>
    </w:p>
    <w:p>
      <w:pPr>
        <w:keepNext/>
        <w:spacing w:before="160" w:after="60"/>
      </w:pPr>
      <w:r>
        <w:rPr>
          <w:rFonts w:ascii="Arial" w:hAnsi="Arial"/>
          <w:b/>
          <w:color w:val="1E293B"/>
          <w:sz w:val="21"/>
        </w:rPr>
        <w:t>4.3.3 Functional Requirements</w:t>
      </w:r>
    </w:p>
    <w:p>
      <w:pPr>
        <w:pStyle w:val="ListBullet"/>
        <w:spacing w:before="20" w:after="60" w:line="276" w:lineRule="auto"/>
      </w:pPr>
      <w:r>
        <w:rPr>
          <w:rFonts w:ascii="Arial" w:hAnsi="Arial"/>
          <w:b/>
          <w:color w:val="0F2E5A"/>
          <w:sz w:val="20"/>
        </w:rPr>
        <w:t xml:space="preserve">REQ-GEO-1 (Unique Audit UUID Generation): </w:t>
      </w:r>
      <w:r>
        <w:rPr>
          <w:rFonts w:ascii="Arial" w:hAnsi="Arial"/>
          <w:color w:val="334155"/>
          <w:sz w:val="20"/>
        </w:rPr>
        <w:t>The system shall generate a globally unique UUID4 identifier for every submitted scan session.</w:t>
      </w:r>
    </w:p>
    <w:p>
      <w:pPr>
        <w:pStyle w:val="ListBullet"/>
        <w:spacing w:before="20" w:after="60" w:line="276" w:lineRule="auto"/>
      </w:pPr>
      <w:r>
        <w:rPr>
          <w:rFonts w:ascii="Arial" w:hAnsi="Arial"/>
          <w:b/>
          <w:color w:val="0F2E5A"/>
          <w:sz w:val="20"/>
        </w:rPr>
        <w:t xml:space="preserve">REQ-GEO-2 (Relational Cascade Integrity): </w:t>
      </w:r>
      <w:r>
        <w:rPr>
          <w:rFonts w:ascii="Arial" w:hAnsi="Arial"/>
          <w:color w:val="334155"/>
          <w:sz w:val="20"/>
        </w:rPr>
        <w:t>The database shall enforce foreign key referential integrity with ON DELETE CASCADE between scan_batches and detections.</w:t>
      </w:r>
    </w:p>
    <w:p>
      <w:pPr>
        <w:pStyle w:val="ListBullet"/>
        <w:spacing w:before="20" w:after="60" w:line="276" w:lineRule="auto"/>
      </w:pPr>
      <w:r>
        <w:rPr>
          <w:rFonts w:ascii="Arial" w:hAnsi="Arial"/>
          <w:b/>
          <w:color w:val="0F2E5A"/>
          <w:sz w:val="20"/>
        </w:rPr>
        <w:t xml:space="preserve">REQ-GEO-3 (Static Artifact Storage): </w:t>
      </w:r>
      <w:r>
        <w:rPr>
          <w:rFonts w:ascii="Arial" w:hAnsi="Arial"/>
          <w:color w:val="334155"/>
          <w:sz w:val="20"/>
        </w:rPr>
        <w:t>Annotated output images shall be saved to the decoupled uploads/ filesystem directory and served via a protected static route.</w:t>
      </w:r>
    </w:p>
    <w:p>
      <w:pPr>
        <w:pStyle w:val="ListBullet"/>
        <w:spacing w:before="20" w:after="60" w:line="276" w:lineRule="auto"/>
      </w:pPr>
      <w:r>
        <w:rPr>
          <w:rFonts w:ascii="Arial" w:hAnsi="Arial"/>
          <w:b/>
          <w:color w:val="0F2E5A"/>
          <w:sz w:val="20"/>
        </w:rPr>
        <w:t xml:space="preserve">REQ-GEO-4 (Vector Embedding Placeholder): </w:t>
      </w:r>
      <w:r>
        <w:rPr>
          <w:rFonts w:ascii="Arial" w:hAnsi="Arial"/>
          <w:color w:val="334155"/>
          <w:sz w:val="20"/>
        </w:rPr>
        <w:t>The scan_batches schema shall maintain a vector(512) column compatible with pgvector to accommodate future multi-modal visual similarity indexing.</w:t>
      </w:r>
    </w:p>
    <w:p>
      <w:pPr>
        <w:keepNext/>
        <w:spacing w:before="240" w:after="80"/>
      </w:pPr>
      <w:r>
        <w:rPr>
          <w:rFonts w:ascii="Arial" w:hAnsi="Arial"/>
          <w:b/>
          <w:color w:val="0F2E5A"/>
          <w:sz w:val="25"/>
        </w:rPr>
        <w:t>4.4 Ecological Risk Assessment &amp; Formal PDF Audit Export</w:t>
      </w:r>
    </w:p>
    <w:p>
      <w:pPr>
        <w:keepNext/>
        <w:spacing w:before="160" w:after="60"/>
      </w:pPr>
      <w:r>
        <w:rPr>
          <w:rFonts w:ascii="Arial" w:hAnsi="Arial"/>
          <w:b/>
          <w:color w:val="1E293B"/>
          <w:sz w:val="21"/>
        </w:rPr>
        <w:t>4.4.1 Description and Priority</w:t>
      </w:r>
    </w:p>
    <w:p>
      <w:r>
        <w:t>Translates raw computer vision outputs into actionable ecological intelligence, generating structured, print-ready and downloadable PDF audit reports suitable for regulatory submissions and cleanup team deployment.</w:t>
      </w:r>
    </w:p>
    <w:p>
      <w:pPr>
        <w:spacing w:after="80"/>
      </w:pPr>
      <w:r>
        <w:t>Priority: High | Benefit: 8 | Penalty: 6 | Cost: 4 | Risk: 3</w:t>
      </w:r>
    </w:p>
    <w:p>
      <w:pPr>
        <w:keepNext/>
        <w:spacing w:before="160" w:after="60"/>
      </w:pPr>
      <w:r>
        <w:rPr>
          <w:rFonts w:ascii="Arial" w:hAnsi="Arial"/>
          <w:b/>
          <w:color w:val="1E293B"/>
          <w:sz w:val="21"/>
        </w:rPr>
        <w:t>4.4.2 Stimulus/Response Sequences</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clicks 'View Official Audit Report' on the detection dashboard.</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ReportPanel modal opens displaying formatted report headers, batch ID, timestamp, annotated thumbnail, itemized debris census, and cleanup priority recommendations.</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clicks 'Download PDF / Print Report'.</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Browser triggers print/export pipeline rendering an official A4 document with high-resolution graphics and institutional headers.</w:t>
      </w:r>
    </w:p>
    <w:p>
      <w:pPr>
        <w:keepNext/>
        <w:spacing w:before="160" w:after="60"/>
      </w:pPr>
      <w:r>
        <w:rPr>
          <w:rFonts w:ascii="Arial" w:hAnsi="Arial"/>
          <w:b/>
          <w:color w:val="1E293B"/>
          <w:sz w:val="21"/>
        </w:rPr>
        <w:t>4.4.3 Functional Requirements</w:t>
      </w:r>
    </w:p>
    <w:p>
      <w:pPr>
        <w:pStyle w:val="ListBullet"/>
        <w:spacing w:before="20" w:after="60" w:line="276" w:lineRule="auto"/>
      </w:pPr>
      <w:r>
        <w:rPr>
          <w:rFonts w:ascii="Arial" w:hAnsi="Arial"/>
          <w:b/>
          <w:color w:val="0F2E5A"/>
          <w:sz w:val="20"/>
        </w:rPr>
        <w:t xml:space="preserve">REQ-REP-1 (Automated Severity Categorization): </w:t>
      </w:r>
      <w:r>
        <w:rPr>
          <w:rFonts w:ascii="Arial" w:hAnsi="Arial"/>
          <w:color w:val="334155"/>
          <w:sz w:val="20"/>
        </w:rPr>
        <w:t>The system shall classify every detected item into an ecological severity tier using the rule: Critical = nets, ropes, tarps; High = bottles, bags, containers, snack wrappers, cups, pipes, wreckage; Medium = cans, clothing, unknown; Low = branches, ROVs, plants, and marine organisms.</w:t>
      </w:r>
    </w:p>
    <w:p>
      <w:pPr>
        <w:pStyle w:val="ListBullet"/>
        <w:spacing w:before="20" w:after="60" w:line="276" w:lineRule="auto"/>
      </w:pPr>
      <w:r>
        <w:rPr>
          <w:rFonts w:ascii="Arial" w:hAnsi="Arial"/>
          <w:b/>
          <w:color w:val="0F2E5A"/>
          <w:sz w:val="20"/>
        </w:rPr>
        <w:t xml:space="preserve">REQ-REP-2 (Composite Threat Scoring): </w:t>
      </w:r>
      <w:r>
        <w:rPr>
          <w:rFonts w:ascii="Arial" w:hAnsi="Arial"/>
          <w:color w:val="334155"/>
          <w:sz w:val="20"/>
        </w:rPr>
        <w:t>The system shall calculate an overall survey threat score proportional to the weighted sum of critical, high, and medium debris items.</w:t>
      </w:r>
    </w:p>
    <w:p>
      <w:pPr>
        <w:pStyle w:val="ListBullet"/>
        <w:spacing w:before="20" w:after="60" w:line="276" w:lineRule="auto"/>
      </w:pPr>
      <w:r>
        <w:rPr>
          <w:rFonts w:ascii="Arial" w:hAnsi="Arial"/>
          <w:b/>
          <w:color w:val="0F2E5A"/>
          <w:sz w:val="20"/>
        </w:rPr>
        <w:t xml:space="preserve">REQ-REP-3 (Mitigation Action Generation): </w:t>
      </w:r>
      <w:r>
        <w:rPr>
          <w:rFonts w:ascii="Arial" w:hAnsi="Arial"/>
          <w:color w:val="334155"/>
          <w:sz w:val="20"/>
        </w:rPr>
        <w:t>The report shall dynamically include specific cleanup recommendations (e.g., 'Deploy heavy grappling recovery team for submerged ghost netting', 'Organize shallow diver litter sweep').</w:t>
      </w:r>
    </w:p>
    <w:p>
      <w:pPr>
        <w:pStyle w:val="ListBullet"/>
        <w:spacing w:before="20" w:after="60" w:line="276" w:lineRule="auto"/>
      </w:pPr>
      <w:r>
        <w:rPr>
          <w:rFonts w:ascii="Arial" w:hAnsi="Arial"/>
          <w:b/>
          <w:color w:val="0F2E5A"/>
          <w:sz w:val="20"/>
        </w:rPr>
        <w:t xml:space="preserve">REQ-REP-4 (PDF &amp; Print Compliance): </w:t>
      </w:r>
      <w:r>
        <w:rPr>
          <w:rFonts w:ascii="Arial" w:hAnsi="Arial"/>
          <w:color w:val="334155"/>
          <w:sz w:val="20"/>
        </w:rPr>
        <w:t>The audit report shall format seamlessly for standard A4 printing and PDF export with page break protection and corporate styling.</w:t>
      </w:r>
    </w:p>
    <w:p>
      <w:pPr>
        <w:keepNext/>
        <w:spacing w:before="240" w:after="80"/>
      </w:pPr>
      <w:r>
        <w:rPr>
          <w:rFonts w:ascii="Arial" w:hAnsi="Arial"/>
          <w:b/>
          <w:color w:val="0F2E5A"/>
          <w:sz w:val="25"/>
        </w:rPr>
        <w:t>4.5 Historical Scan Ingestion &amp; Aggregate Analytics</w:t>
      </w:r>
    </w:p>
    <w:p>
      <w:pPr>
        <w:keepNext/>
        <w:spacing w:before="160" w:after="60"/>
      </w:pPr>
      <w:r>
        <w:rPr>
          <w:rFonts w:ascii="Arial" w:hAnsi="Arial"/>
          <w:b/>
          <w:color w:val="1E293B"/>
          <w:sz w:val="21"/>
        </w:rPr>
        <w:t>4.5.1 Description and Priority</w:t>
      </w:r>
    </w:p>
    <w:p>
      <w:r>
        <w:t>Provides retrospective surveillance tracking, paginated scan history review, individual historical scan re-examination, and macro-level statistical aggregations across all surveyed marine sectors.</w:t>
      </w:r>
    </w:p>
    <w:p>
      <w:pPr>
        <w:spacing w:after="80"/>
      </w:pPr>
      <w:r>
        <w:t>Priority: Medium | Benefit: 7 | Penalty: 5 | Cost: 3 | Risk: 2</w:t>
      </w:r>
    </w:p>
    <w:p>
      <w:pPr>
        <w:keepNext/>
        <w:spacing w:before="160" w:after="60"/>
      </w:pPr>
      <w:r>
        <w:rPr>
          <w:rFonts w:ascii="Arial" w:hAnsi="Arial"/>
          <w:b/>
          <w:color w:val="1E293B"/>
          <w:sz w:val="21"/>
        </w:rPr>
        <w:t>4.5.2 Stimulus/Response Sequences</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opens the 'Scan History' view or queries GET /history?page=1&amp;limit=20.</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Backend returns total count, current page, and array of historical scan batch cards.</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selects a specific past scan batch card.</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Backend retrieves full scan record and itemized detections via GET /history/{batch_id}, displaying the full historical audit.</w:t>
      </w:r>
    </w:p>
    <w:p>
      <w:pPr>
        <w:pStyle w:val="ListBullet"/>
        <w:spacing w:before="20" w:after="60" w:line="276" w:lineRule="auto"/>
      </w:pPr>
      <w:r>
        <w:rPr>
          <w:rFonts w:ascii="Arial" w:hAnsi="Arial"/>
          <w:b/>
          <w:color w:val="0F2E5A"/>
          <w:sz w:val="20"/>
        </w:rPr>
        <w:t xml:space="preserve">Stimulus: </w:t>
      </w:r>
      <w:r>
        <w:rPr>
          <w:rFonts w:ascii="Arial" w:hAnsi="Arial"/>
          <w:color w:val="334155"/>
          <w:sz w:val="20"/>
        </w:rPr>
        <w:t>User accesses the analytics dashboard (GET /stats).</w:t>
      </w:r>
    </w:p>
    <w:p>
      <w:pPr>
        <w:pStyle w:val="ListBullet"/>
        <w:spacing w:before="20" w:after="60" w:line="276" w:lineRule="auto"/>
      </w:pPr>
      <w:r>
        <w:rPr>
          <w:rFonts w:ascii="Arial" w:hAnsi="Arial"/>
          <w:b/>
          <w:color w:val="0F2E5A"/>
          <w:sz w:val="20"/>
        </w:rPr>
        <w:t xml:space="preserve">Response: </w:t>
      </w:r>
      <w:r>
        <w:rPr>
          <w:rFonts w:ascii="Arial" w:hAnsi="Arial"/>
          <w:color w:val="334155"/>
          <w:sz w:val="20"/>
        </w:rPr>
        <w:t>Backend calculates aggregate statistics (total scans, total detections, average model confidence, and frequency distribution across all 22 classes).</w:t>
      </w:r>
    </w:p>
    <w:p>
      <w:pPr>
        <w:keepNext/>
        <w:spacing w:before="160" w:after="60"/>
      </w:pPr>
      <w:r>
        <w:rPr>
          <w:rFonts w:ascii="Arial" w:hAnsi="Arial"/>
          <w:b/>
          <w:color w:val="1E293B"/>
          <w:sz w:val="21"/>
        </w:rPr>
        <w:t>4.5.3 Functional Requirements</w:t>
      </w:r>
    </w:p>
    <w:p>
      <w:pPr>
        <w:pStyle w:val="ListBullet"/>
        <w:spacing w:before="20" w:after="60" w:line="276" w:lineRule="auto"/>
      </w:pPr>
      <w:r>
        <w:rPr>
          <w:rFonts w:ascii="Arial" w:hAnsi="Arial"/>
          <w:b/>
          <w:color w:val="0F2E5A"/>
          <w:sz w:val="20"/>
        </w:rPr>
        <w:t xml:space="preserve">REQ-HIST-1 (Paginated History Retrieval): </w:t>
      </w:r>
      <w:r>
        <w:rPr>
          <w:rFonts w:ascii="Arial" w:hAnsi="Arial"/>
          <w:color w:val="334155"/>
          <w:sz w:val="20"/>
        </w:rPr>
        <w:t>The API shall provide paginated access to past scan batches with configurable page number and item limit parameters.</w:t>
      </w:r>
    </w:p>
    <w:p>
      <w:pPr>
        <w:pStyle w:val="ListBullet"/>
        <w:spacing w:before="20" w:after="60" w:line="276" w:lineRule="auto"/>
      </w:pPr>
      <w:r>
        <w:rPr>
          <w:rFonts w:ascii="Arial" w:hAnsi="Arial"/>
          <w:b/>
          <w:color w:val="0F2E5A"/>
          <w:sz w:val="20"/>
        </w:rPr>
        <w:t xml:space="preserve">REQ-HIST-2 (Detailed Batch Inspection): </w:t>
      </w:r>
      <w:r>
        <w:rPr>
          <w:rFonts w:ascii="Arial" w:hAnsi="Arial"/>
          <w:color w:val="334155"/>
          <w:sz w:val="20"/>
        </w:rPr>
        <w:t>The API shall return all associated bounding boxes, classes, confidences, and severity ratings for any requested valid UUID.</w:t>
      </w:r>
    </w:p>
    <w:p>
      <w:pPr>
        <w:pStyle w:val="ListBullet"/>
        <w:spacing w:before="20" w:after="60" w:line="276" w:lineRule="auto"/>
      </w:pPr>
      <w:r>
        <w:rPr>
          <w:rFonts w:ascii="Arial" w:hAnsi="Arial"/>
          <w:b/>
          <w:color w:val="0F2E5A"/>
          <w:sz w:val="20"/>
        </w:rPr>
        <w:t xml:space="preserve">REQ-HIST-3 (Aggregate Metric Computation): </w:t>
      </w:r>
      <w:r>
        <w:rPr>
          <w:rFonts w:ascii="Arial" w:hAnsi="Arial"/>
          <w:color w:val="334155"/>
          <w:sz w:val="20"/>
        </w:rPr>
        <w:t>The system shall compute real-time aggregate metrics including total scans, total detections, average confidence, and per-class occurrence counts.</w:t>
      </w:r>
    </w:p>
    <w:p>
      <w:pPr>
        <w:pStyle w:val="ListBullet"/>
        <w:spacing w:before="20" w:after="60" w:line="276" w:lineRule="auto"/>
      </w:pPr>
      <w:r>
        <w:rPr>
          <w:rFonts w:ascii="Arial" w:hAnsi="Arial"/>
          <w:b/>
          <w:color w:val="0F2E5A"/>
          <w:sz w:val="20"/>
        </w:rPr>
        <w:t xml:space="preserve">REQ-HIST-4 (Temporal Sorting): </w:t>
      </w:r>
      <w:r>
        <w:rPr>
          <w:rFonts w:ascii="Arial" w:hAnsi="Arial"/>
          <w:color w:val="334155"/>
          <w:sz w:val="20"/>
        </w:rPr>
        <w:t>Historical records shall be sorted in descending chronological order (newest scans first).</w:t>
      </w:r>
    </w:p>
    <w:p>
      <w:r>
        <w:br w:type="page"/>
      </w:r>
    </w:p>
    <w:p>
      <w:pPr>
        <w:keepNext/>
        <w:spacing w:before="320" w:after="120"/>
      </w:pPr>
      <w:r>
        <w:rPr>
          <w:rFonts w:ascii="Arial" w:hAnsi="Arial"/>
          <w:b/>
          <w:color w:val="0C2340"/>
          <w:sz w:val="32"/>
        </w:rPr>
        <w:t>5. Other Nonfunctional Requirements</w:t>
      </w:r>
    </w:p>
    <w:p>
      <w:pPr>
        <w:keepNext/>
        <w:spacing w:before="240" w:after="80"/>
      </w:pPr>
      <w:r>
        <w:rPr>
          <w:rFonts w:ascii="Arial" w:hAnsi="Arial"/>
          <w:b/>
          <w:color w:val="0F2E5A"/>
          <w:sz w:val="25"/>
        </w:rPr>
        <w:t>5.1 Performance Requirements</w:t>
      </w:r>
    </w:p>
    <w:p>
      <w:pPr>
        <w:pStyle w:val="ListBullet"/>
        <w:spacing w:before="20" w:after="60" w:line="276" w:lineRule="auto"/>
      </w:pPr>
      <w:r>
        <w:rPr>
          <w:rFonts w:ascii="Arial" w:hAnsi="Arial"/>
          <w:b/>
          <w:color w:val="0F2E5A"/>
          <w:sz w:val="20"/>
        </w:rPr>
        <w:t xml:space="preserve">NFR-PERF-1 (Inference Latency): </w:t>
      </w:r>
      <w:r>
        <w:rPr>
          <w:rFonts w:ascii="Arial" w:hAnsi="Arial"/>
          <w:color w:val="334155"/>
          <w:sz w:val="20"/>
        </w:rPr>
        <w:t>When running on recommended GPU hardware (NVIDIA RTX 3050/4050 or equivalent with CUDA), forward deep learning inference for a single 640x640 frame shall complete in less than 250 milliseconds.</w:t>
      </w:r>
    </w:p>
    <w:p>
      <w:pPr>
        <w:pStyle w:val="ListBullet"/>
        <w:spacing w:before="20" w:after="60" w:line="276" w:lineRule="auto"/>
      </w:pPr>
      <w:r>
        <w:rPr>
          <w:rFonts w:ascii="Arial" w:hAnsi="Arial"/>
          <w:b/>
          <w:color w:val="0F2E5A"/>
          <w:sz w:val="20"/>
        </w:rPr>
        <w:t xml:space="preserve">NFR-PERF-2 (End-to-End Turnaround): </w:t>
      </w:r>
      <w:r>
        <w:rPr>
          <w:rFonts w:ascii="Arial" w:hAnsi="Arial"/>
          <w:color w:val="334155"/>
          <w:sz w:val="20"/>
        </w:rPr>
        <w:t>Total end-to-end processing time (including image upload, model inference, database persistence, and response serialization) shall not exceed 1.5 seconds on GPU and 10 seconds on CPU fallback.</w:t>
      </w:r>
    </w:p>
    <w:p>
      <w:pPr>
        <w:pStyle w:val="ListBullet"/>
        <w:spacing w:before="20" w:after="60" w:line="276" w:lineRule="auto"/>
      </w:pPr>
      <w:r>
        <w:rPr>
          <w:rFonts w:ascii="Arial" w:hAnsi="Arial"/>
          <w:b/>
          <w:color w:val="0F2E5A"/>
          <w:sz w:val="20"/>
        </w:rPr>
        <w:t xml:space="preserve">NFR-PERF-3 (Client-Side Responsiveness): </w:t>
      </w:r>
      <w:r>
        <w:rPr>
          <w:rFonts w:ascii="Arial" w:hAnsi="Arial"/>
          <w:color w:val="334155"/>
          <w:sz w:val="20"/>
        </w:rPr>
        <w:t>Filtering operations using the client confidence slider shall execute at 60 frames per second (re-render latency &lt;16ms) without initiating redundant network calls.</w:t>
      </w:r>
    </w:p>
    <w:p>
      <w:pPr>
        <w:pStyle w:val="ListBullet"/>
        <w:spacing w:before="20" w:after="60" w:line="276" w:lineRule="auto"/>
      </w:pPr>
      <w:r>
        <w:rPr>
          <w:rFonts w:ascii="Arial" w:hAnsi="Arial"/>
          <w:b/>
          <w:color w:val="0F2E5A"/>
          <w:sz w:val="20"/>
        </w:rPr>
        <w:t xml:space="preserve">NFR-PERF-4 (Concurrent Ingestion): </w:t>
      </w:r>
      <w:r>
        <w:rPr>
          <w:rFonts w:ascii="Arial" w:hAnsi="Arial"/>
          <w:color w:val="334155"/>
          <w:sz w:val="20"/>
        </w:rPr>
        <w:t>The asynchronous FastAPI server shall support at least 20 concurrent HTTP requests without connection dropouts or socket starvation.</w:t>
      </w:r>
    </w:p>
    <w:p>
      <w:pPr>
        <w:keepNext/>
        <w:spacing w:before="240" w:after="80"/>
      </w:pPr>
      <w:r>
        <w:rPr>
          <w:rFonts w:ascii="Arial" w:hAnsi="Arial"/>
          <w:b/>
          <w:color w:val="0F2E5A"/>
          <w:sz w:val="25"/>
        </w:rPr>
        <w:t>5.2 Safety Requirements</w:t>
      </w:r>
    </w:p>
    <w:p>
      <w:pPr>
        <w:pStyle w:val="ListBullet"/>
        <w:spacing w:before="20" w:after="60" w:line="276" w:lineRule="auto"/>
      </w:pPr>
      <w:r>
        <w:rPr>
          <w:rFonts w:ascii="Arial" w:hAnsi="Arial"/>
          <w:b/>
          <w:color w:val="0F2E5A"/>
          <w:sz w:val="20"/>
        </w:rPr>
        <w:t xml:space="preserve">NFR-SAFE-1 (False Negative Mitigation in Ghost Gear): </w:t>
      </w:r>
      <w:r>
        <w:rPr>
          <w:rFonts w:ascii="Arial" w:hAnsi="Arial"/>
          <w:color w:val="334155"/>
          <w:sz w:val="20"/>
        </w:rPr>
        <w:t>Ghost fishing nets (trash_net) and heavy synthetic lines (trash_rope) pose mortal hazards to marine fauna and human divers. The system must flag any detection of these classes with critical high-visibility alerts to prevent operational diver entanglements during recovery missions.</w:t>
      </w:r>
    </w:p>
    <w:p>
      <w:pPr>
        <w:pStyle w:val="ListBullet"/>
        <w:spacing w:before="20" w:after="60" w:line="276" w:lineRule="auto"/>
      </w:pPr>
      <w:r>
        <w:rPr>
          <w:rFonts w:ascii="Arial" w:hAnsi="Arial"/>
          <w:b/>
          <w:color w:val="0F2E5A"/>
          <w:sz w:val="20"/>
        </w:rPr>
        <w:t xml:space="preserve">NFR-SAFE-2 (Fail-Safe Default Severity): </w:t>
      </w:r>
      <w:r>
        <w:rPr>
          <w:rFonts w:ascii="Arial" w:hAnsi="Arial"/>
          <w:color w:val="334155"/>
          <w:sz w:val="20"/>
        </w:rPr>
        <w:t>In the event of an unclassified debris object (trash_unknown_instance), the system shall default to a Medium severity rating rather than Low, preventing premature de-escalation of potential chemical or physical hazards.</w:t>
      </w:r>
    </w:p>
    <w:p>
      <w:pPr>
        <w:pStyle w:val="ListBullet"/>
        <w:spacing w:before="20" w:after="60" w:line="276" w:lineRule="auto"/>
      </w:pPr>
      <w:r>
        <w:rPr>
          <w:rFonts w:ascii="Arial" w:hAnsi="Arial"/>
          <w:b/>
          <w:color w:val="0F2E5A"/>
          <w:sz w:val="20"/>
        </w:rPr>
        <w:t xml:space="preserve">NFR-SAFE-3 (Data Loss Prevention): </w:t>
      </w:r>
      <w:r>
        <w:rPr>
          <w:rFonts w:ascii="Arial" w:hAnsi="Arial"/>
          <w:color w:val="334155"/>
          <w:sz w:val="20"/>
        </w:rPr>
        <w:t>Database transactions during the /detect pipeline shall execute within atomic session contexts; if an image fails to persist to disk, database records must roll back cleanly to maintain referential consistency.</w:t>
      </w:r>
    </w:p>
    <w:p>
      <w:pPr>
        <w:keepNext/>
        <w:spacing w:before="240" w:after="80"/>
      </w:pPr>
      <w:r>
        <w:rPr>
          <w:rFonts w:ascii="Arial" w:hAnsi="Arial"/>
          <w:b/>
          <w:color w:val="0F2E5A"/>
          <w:sz w:val="25"/>
        </w:rPr>
        <w:t>5.3 Security Requirements</w:t>
      </w:r>
    </w:p>
    <w:p>
      <w:pPr>
        <w:pStyle w:val="ListBullet"/>
        <w:spacing w:before="20" w:after="60" w:line="276" w:lineRule="auto"/>
      </w:pPr>
      <w:r>
        <w:rPr>
          <w:rFonts w:ascii="Arial" w:hAnsi="Arial"/>
          <w:b/>
          <w:color w:val="0F2E5A"/>
          <w:sz w:val="20"/>
        </w:rPr>
        <w:t xml:space="preserve">NFR-SEC-1 (Zero External Data Leakage): </w:t>
      </w:r>
      <w:r>
        <w:rPr>
          <w:rFonts w:ascii="Arial" w:hAnsi="Arial"/>
          <w:color w:val="334155"/>
          <w:sz w:val="20"/>
        </w:rPr>
        <w:t>Uploaded marine imagery, acoustic coordinates, and environmental survey data shall never be transmitted to external third-party cloud APIs. All processing remains strictly sovereign to the host system.</w:t>
      </w:r>
    </w:p>
    <w:p>
      <w:pPr>
        <w:pStyle w:val="ListBullet"/>
        <w:spacing w:before="20" w:after="60" w:line="276" w:lineRule="auto"/>
      </w:pPr>
      <w:r>
        <w:rPr>
          <w:rFonts w:ascii="Arial" w:hAnsi="Arial"/>
          <w:b/>
          <w:color w:val="0F2E5A"/>
          <w:sz w:val="20"/>
        </w:rPr>
        <w:t xml:space="preserve">NFR-SEC-2 (Input Sanitization &amp; Exploit Mitigation): </w:t>
      </w:r>
      <w:r>
        <w:rPr>
          <w:rFonts w:ascii="Arial" w:hAnsi="Arial"/>
          <w:color w:val="334155"/>
          <w:sz w:val="20"/>
        </w:rPr>
        <w:t>All incoming image uploads shall undergo binary header validation via PIL. Image decompression bombs (zip bombs / pixel overflows) shall be rejected immediately before allocation.</w:t>
      </w:r>
    </w:p>
    <w:p>
      <w:pPr>
        <w:pStyle w:val="ListBullet"/>
        <w:spacing w:before="20" w:after="60" w:line="276" w:lineRule="auto"/>
      </w:pPr>
      <w:r>
        <w:rPr>
          <w:rFonts w:ascii="Arial" w:hAnsi="Arial"/>
          <w:b/>
          <w:color w:val="0F2E5A"/>
          <w:sz w:val="20"/>
        </w:rPr>
        <w:t xml:space="preserve">NFR-SEC-3 (Path Traversal Protection): </w:t>
      </w:r>
      <w:r>
        <w:rPr>
          <w:rFonts w:ascii="Arial" w:hAnsi="Arial"/>
          <w:color w:val="334155"/>
          <w:sz w:val="20"/>
        </w:rPr>
        <w:t>Static file retrieval (/uploads/{filename}) shall strictly sanitize filename parameters to prevent directory traversal attacks (e.g., ../../etc/passwd).</w:t>
      </w:r>
    </w:p>
    <w:p>
      <w:pPr>
        <w:pStyle w:val="ListBullet"/>
        <w:spacing w:before="20" w:after="60" w:line="276" w:lineRule="auto"/>
      </w:pPr>
      <w:r>
        <w:rPr>
          <w:rFonts w:ascii="Arial" w:hAnsi="Arial"/>
          <w:b/>
          <w:color w:val="0F2E5A"/>
          <w:sz w:val="20"/>
        </w:rPr>
        <w:t xml:space="preserve">NFR-SEC-4 (Database Isolation): </w:t>
      </w:r>
      <w:r>
        <w:rPr>
          <w:rFonts w:ascii="Arial" w:hAnsi="Arial"/>
          <w:color w:val="334155"/>
          <w:sz w:val="20"/>
        </w:rPr>
        <w:t>The PostgreSQL container shall operate within an isolated Docker network bridge, with password authentication enforced and administrative ports restricted from public exposure.</w:t>
      </w:r>
    </w:p>
    <w:p>
      <w:pPr>
        <w:keepNext/>
        <w:spacing w:before="240" w:after="80"/>
      </w:pPr>
      <w:r>
        <w:rPr>
          <w:rFonts w:ascii="Arial" w:hAnsi="Arial"/>
          <w:b/>
          <w:color w:val="0F2E5A"/>
          <w:sz w:val="25"/>
        </w:rPr>
        <w:t>5.4 Software Quality Attributes</w:t>
      </w:r>
    </w:p>
    <w:p>
      <w:pPr>
        <w:pStyle w:val="ListBullet"/>
        <w:spacing w:before="20" w:after="60" w:line="276" w:lineRule="auto"/>
      </w:pPr>
      <w:r>
        <w:rPr>
          <w:rFonts w:ascii="Arial" w:hAnsi="Arial"/>
          <w:b/>
          <w:color w:val="0F2E5A"/>
          <w:sz w:val="20"/>
        </w:rPr>
        <w:t xml:space="preserve">NFR-QUAL-1 (Reliability &amp; Fault Tolerance): </w:t>
      </w:r>
      <w:r>
        <w:rPr>
          <w:rFonts w:ascii="Arial" w:hAnsi="Arial"/>
          <w:color w:val="334155"/>
          <w:sz w:val="20"/>
        </w:rPr>
        <w:t>The server shall remain resilient to individual corrupted file uploads. Corrupt payloads shall return clean HTTP 400 status codes without terminating the ASGI server process.</w:t>
      </w:r>
    </w:p>
    <w:p>
      <w:pPr>
        <w:pStyle w:val="ListBullet"/>
        <w:spacing w:before="20" w:after="60" w:line="276" w:lineRule="auto"/>
      </w:pPr>
      <w:r>
        <w:rPr>
          <w:rFonts w:ascii="Arial" w:hAnsi="Arial"/>
          <w:b/>
          <w:color w:val="0F2E5A"/>
          <w:sz w:val="20"/>
        </w:rPr>
        <w:t xml:space="preserve">NFR-QUAL-2 (Availability): </w:t>
      </w:r>
      <w:r>
        <w:rPr>
          <w:rFonts w:ascii="Arial" w:hAnsi="Arial"/>
          <w:color w:val="334155"/>
          <w:sz w:val="20"/>
        </w:rPr>
        <w:t>The backend server and database services shall be architected for continuous 99.9% uptime during operational monitoring missions.</w:t>
      </w:r>
    </w:p>
    <w:p>
      <w:pPr>
        <w:pStyle w:val="ListBullet"/>
        <w:spacing w:before="20" w:after="60" w:line="276" w:lineRule="auto"/>
      </w:pPr>
      <w:r>
        <w:rPr>
          <w:rFonts w:ascii="Arial" w:hAnsi="Arial"/>
          <w:b/>
          <w:color w:val="0F2E5A"/>
          <w:sz w:val="20"/>
        </w:rPr>
        <w:t xml:space="preserve">NFR-QUAL-3 (Usability &amp; Accessibility): </w:t>
      </w:r>
      <w:r>
        <w:rPr>
          <w:rFonts w:ascii="Arial" w:hAnsi="Arial"/>
          <w:color w:val="334155"/>
          <w:sz w:val="20"/>
        </w:rPr>
        <w:t>The user interface shall comply with WCAG 2.1 Level AA color contrast requirements. Color-coded severity badges shall always include explicit textual labels alongside color cues to support users with color vision deficiencies.</w:t>
      </w:r>
    </w:p>
    <w:p>
      <w:pPr>
        <w:pStyle w:val="ListBullet"/>
        <w:spacing w:before="20" w:after="60" w:line="276" w:lineRule="auto"/>
      </w:pPr>
      <w:r>
        <w:rPr>
          <w:rFonts w:ascii="Arial" w:hAnsi="Arial"/>
          <w:b/>
          <w:color w:val="0F2E5A"/>
          <w:sz w:val="20"/>
        </w:rPr>
        <w:t xml:space="preserve">NFR-QUAL-4 (Maintainability &amp; Code Decoupling): </w:t>
      </w:r>
      <w:r>
        <w:rPr>
          <w:rFonts w:ascii="Arial" w:hAnsi="Arial"/>
          <w:color w:val="334155"/>
          <w:sz w:val="20"/>
        </w:rPr>
        <w:t>Frontend components, database models, and inference pipelines shall remain strictly decoupled, enabling independent model swapping or database migrations without refactoring client components.</w:t>
      </w:r>
    </w:p>
    <w:p>
      <w:pPr>
        <w:pStyle w:val="ListBullet"/>
        <w:spacing w:before="20" w:after="60" w:line="276" w:lineRule="auto"/>
      </w:pPr>
      <w:r>
        <w:rPr>
          <w:rFonts w:ascii="Arial" w:hAnsi="Arial"/>
          <w:b/>
          <w:color w:val="0F2E5A"/>
          <w:sz w:val="20"/>
        </w:rPr>
        <w:t xml:space="preserve">NFR-QUAL-5 (Portability): </w:t>
      </w:r>
      <w:r>
        <w:rPr>
          <w:rFonts w:ascii="Arial" w:hAnsi="Arial"/>
          <w:color w:val="334155"/>
          <w:sz w:val="20"/>
        </w:rPr>
        <w:t>The backend pipeline shall run seamlessly across Windows and Linux platforms through standard Python virtual environments and Docker container orchestration.</w:t>
      </w:r>
    </w:p>
    <w:p>
      <w:pPr>
        <w:keepNext/>
        <w:spacing w:before="240" w:after="80"/>
      </w:pPr>
      <w:r>
        <w:rPr>
          <w:rFonts w:ascii="Arial" w:hAnsi="Arial"/>
          <w:b/>
          <w:color w:val="0F2E5A"/>
          <w:sz w:val="25"/>
        </w:rPr>
        <w:t>5.5 Business Rules</w:t>
      </w:r>
    </w:p>
    <w:p>
      <w:pPr>
        <w:pStyle w:val="ListBullet"/>
        <w:spacing w:before="20" w:after="60" w:line="276" w:lineRule="auto"/>
      </w:pPr>
      <w:r>
        <w:rPr>
          <w:rFonts w:ascii="Arial" w:hAnsi="Arial"/>
          <w:b/>
          <w:color w:val="0F2E5A"/>
          <w:sz w:val="20"/>
        </w:rPr>
        <w:t xml:space="preserve">BR-01 (Environmental Sovereignty): </w:t>
      </w:r>
      <w:r>
        <w:rPr>
          <w:rFonts w:ascii="Arial" w:hAnsi="Arial"/>
          <w:color w:val="334155"/>
          <w:sz w:val="20"/>
        </w:rPr>
        <w:t>All environmental assessments and audit records belong exclusively to the operating research institution or maritime organization.</w:t>
      </w:r>
    </w:p>
    <w:p>
      <w:pPr>
        <w:pStyle w:val="ListBullet"/>
        <w:spacing w:before="20" w:after="60" w:line="276" w:lineRule="auto"/>
      </w:pPr>
      <w:r>
        <w:rPr>
          <w:rFonts w:ascii="Arial" w:hAnsi="Arial"/>
          <w:b/>
          <w:color w:val="0F2E5A"/>
          <w:sz w:val="20"/>
        </w:rPr>
        <w:t xml:space="preserve">BR-02 (Scientific Data Integrity): </w:t>
      </w:r>
      <w:r>
        <w:rPr>
          <w:rFonts w:ascii="Arial" w:hAnsi="Arial"/>
          <w:color w:val="334155"/>
          <w:sz w:val="20"/>
        </w:rPr>
        <w:t>Raw inference scores (confidence ratings and coordinate boxes) must remain permanently immutable once recorded in the database; audit adjustments may be appended as annotations but cannot overwrite raw model outputs.</w:t>
      </w:r>
    </w:p>
    <w:p>
      <w:pPr>
        <w:pStyle w:val="ListBullet"/>
        <w:spacing w:before="20" w:after="60" w:line="276" w:lineRule="auto"/>
      </w:pPr>
      <w:r>
        <w:rPr>
          <w:rFonts w:ascii="Arial" w:hAnsi="Arial"/>
          <w:b/>
          <w:color w:val="0F2E5A"/>
          <w:sz w:val="20"/>
        </w:rPr>
        <w:t xml:space="preserve">BR-03 (Standardized Taxonomy Adherence): </w:t>
      </w:r>
      <w:r>
        <w:rPr>
          <w:rFonts w:ascii="Arial" w:hAnsi="Arial"/>
          <w:color w:val="334155"/>
          <w:sz w:val="20"/>
        </w:rPr>
        <w:t>All debris categorization must map directly to established marine debris classification standards (JAMSTEC / NOAA marine debris categories).</w:t>
      </w:r>
    </w:p>
    <w:p>
      <w:r>
        <w:br w:type="page"/>
      </w:r>
    </w:p>
    <w:p>
      <w:pPr>
        <w:keepNext/>
        <w:spacing w:before="320" w:after="120"/>
      </w:pPr>
      <w:r>
        <w:rPr>
          <w:rFonts w:ascii="Arial" w:hAnsi="Arial"/>
          <w:b/>
          <w:color w:val="0C2340"/>
          <w:sz w:val="32"/>
        </w:rPr>
        <w:t>6. Other Requirements</w:t>
      </w:r>
    </w:p>
    <w:p>
      <w:pPr>
        <w:keepNext/>
        <w:spacing w:before="240" w:after="80"/>
      </w:pPr>
      <w:r>
        <w:rPr>
          <w:rFonts w:ascii="Arial" w:hAnsi="Arial"/>
          <w:b/>
          <w:color w:val="0F2E5A"/>
          <w:sz w:val="25"/>
        </w:rPr>
        <w:t>6.1 Database &amp; Vector Indexing Requirements</w:t>
      </w:r>
    </w:p>
    <w:p>
      <w:r>
        <w:t>Blue Sentinel requires high-performance spatial-relational persistence with native vector support:</w:t>
      </w:r>
    </w:p>
    <w:p>
      <w:pPr>
        <w:pStyle w:val="ListBullet"/>
        <w:spacing w:before="20" w:after="60" w:line="276" w:lineRule="auto"/>
      </w:pPr>
      <w:r>
        <w:rPr>
          <w:rFonts w:ascii="Arial" w:hAnsi="Arial"/>
          <w:b/>
          <w:color w:val="0F2E5A"/>
          <w:sz w:val="20"/>
        </w:rPr>
        <w:t xml:space="preserve">Relational Schema Standards: </w:t>
      </w:r>
      <w:r>
        <w:rPr>
          <w:rFonts w:ascii="Arial" w:hAnsi="Arial"/>
          <w:color w:val="334155"/>
          <w:sz w:val="20"/>
        </w:rPr>
        <w:t>The database shall implement the scan_batches and detections schema with appropriate primary keys, foreign keys, and indexes on scan_batches.created_at and detections.batch_id.</w:t>
      </w:r>
    </w:p>
    <w:p>
      <w:pPr>
        <w:pStyle w:val="ListBullet"/>
        <w:spacing w:before="20" w:after="60" w:line="276" w:lineRule="auto"/>
      </w:pPr>
      <w:r>
        <w:rPr>
          <w:rFonts w:ascii="Arial" w:hAnsi="Arial"/>
          <w:b/>
          <w:color w:val="0F2E5A"/>
          <w:sz w:val="20"/>
        </w:rPr>
        <w:t xml:space="preserve">pgvector Compatibility: </w:t>
      </w:r>
      <w:r>
        <w:rPr>
          <w:rFonts w:ascii="Arial" w:hAnsi="Arial"/>
          <w:color w:val="334155"/>
          <w:sz w:val="20"/>
        </w:rPr>
        <w:t>The PostgreSQL database must load the vector extension on initialization (CREATE EXTENSION IF NOT EXISTS vector) to support 512-dimensional visual feature embedding storage.</w:t>
      </w:r>
    </w:p>
    <w:p>
      <w:pPr>
        <w:pStyle w:val="ListBullet"/>
        <w:spacing w:before="20" w:after="60" w:line="276" w:lineRule="auto"/>
      </w:pPr>
      <w:r>
        <w:rPr>
          <w:rFonts w:ascii="Arial" w:hAnsi="Arial"/>
          <w:b/>
          <w:color w:val="0F2E5A"/>
          <w:sz w:val="20"/>
        </w:rPr>
        <w:t xml:space="preserve">Connection Pooling: </w:t>
      </w:r>
      <w:r>
        <w:rPr>
          <w:rFonts w:ascii="Arial" w:hAnsi="Arial"/>
          <w:color w:val="334155"/>
          <w:sz w:val="20"/>
        </w:rPr>
        <w:t>The backend shall utilize SQLAlchemy asynchronous connection pooling with a pool size of at least 5 connections and 10 overflow connections.</w:t>
      </w:r>
    </w:p>
    <w:p>
      <w:pPr>
        <w:keepNext/>
        <w:spacing w:before="240" w:after="80"/>
      </w:pPr>
      <w:r>
        <w:rPr>
          <w:rFonts w:ascii="Arial" w:hAnsi="Arial"/>
          <w:b/>
          <w:color w:val="0F2E5A"/>
          <w:sz w:val="25"/>
        </w:rPr>
        <w:t>6.2 Environmental &amp; Regulatory Compliance</w:t>
      </w:r>
    </w:p>
    <w:p>
      <w:r>
        <w:t>Blue Sentinel is designed to assist maritime compliance under international marine environmental treaties:</w:t>
      </w:r>
    </w:p>
    <w:p>
      <w:pPr>
        <w:pStyle w:val="ListBullet"/>
        <w:spacing w:before="20" w:after="60" w:line="276" w:lineRule="auto"/>
      </w:pPr>
      <w:r>
        <w:rPr>
          <w:rFonts w:ascii="Arial" w:hAnsi="Arial"/>
          <w:b/>
          <w:color w:val="0F2E5A"/>
          <w:sz w:val="20"/>
        </w:rPr>
        <w:t xml:space="preserve">MARPOL Annex V: </w:t>
      </w:r>
      <w:r>
        <w:rPr>
          <w:rFonts w:ascii="Arial" w:hAnsi="Arial"/>
          <w:color w:val="334155"/>
          <w:sz w:val="20"/>
        </w:rPr>
        <w:t>Assists harbor authorities and maritime operators in documenting and verifying compliance with International Convention for the Prevention of Pollution from Ships regulations regarding the discharge of plastics into the ocean.</w:t>
      </w:r>
    </w:p>
    <w:p>
      <w:pPr>
        <w:pStyle w:val="ListBullet"/>
        <w:spacing w:before="20" w:after="60" w:line="276" w:lineRule="auto"/>
      </w:pPr>
      <w:r>
        <w:rPr>
          <w:rFonts w:ascii="Arial" w:hAnsi="Arial"/>
          <w:b/>
          <w:color w:val="0F2E5A"/>
          <w:sz w:val="20"/>
        </w:rPr>
        <w:t xml:space="preserve">UN Sustainable Development Goal 14 (Life Below Water): </w:t>
      </w:r>
      <w:r>
        <w:rPr>
          <w:rFonts w:ascii="Arial" w:hAnsi="Arial"/>
          <w:color w:val="334155"/>
          <w:sz w:val="20"/>
        </w:rPr>
        <w:t>Directly supports target 14.1 (by 2025, prevent and significantly reduce marine pollution of all kinds, in particular from land-based activities, including marine debris and nutrient pollution).</w:t>
      </w:r>
    </w:p>
    <w:p>
      <w:pPr>
        <w:keepNext/>
        <w:spacing w:before="240" w:after="80"/>
      </w:pPr>
      <w:r>
        <w:rPr>
          <w:rFonts w:ascii="Arial" w:hAnsi="Arial"/>
          <w:b/>
          <w:color w:val="0F2E5A"/>
          <w:sz w:val="25"/>
        </w:rPr>
        <w:t>6.3 Deployment &amp; Containerization Architecture</w:t>
      </w:r>
    </w:p>
    <w:p>
      <w:r>
        <w:t>System deployment is streamlined using modern containerization:</w:t>
      </w:r>
    </w:p>
    <w:p>
      <w:pPr>
        <w:pStyle w:val="ListBullet"/>
        <w:spacing w:before="20" w:after="60" w:line="276" w:lineRule="auto"/>
      </w:pPr>
      <w:r>
        <w:rPr>
          <w:rFonts w:ascii="Arial" w:hAnsi="Arial"/>
          <w:b/>
          <w:color w:val="0F2E5A"/>
          <w:sz w:val="20"/>
        </w:rPr>
        <w:t xml:space="preserve">Docker Compose Orchestration: </w:t>
      </w:r>
      <w:r>
        <w:rPr>
          <w:rFonts w:ascii="Arial" w:hAnsi="Arial"/>
          <w:color w:val="334155"/>
          <w:sz w:val="20"/>
        </w:rPr>
        <w:t>The PostgreSQL 18 container is declared via docker-compose.yml with automatic volume mounting (postgres_data:/var/lib/postgresql/data) for persistent storage across container restarts.</w:t>
      </w:r>
    </w:p>
    <w:p>
      <w:pPr>
        <w:pStyle w:val="ListBullet"/>
        <w:spacing w:before="20" w:after="60" w:line="276" w:lineRule="auto"/>
      </w:pPr>
      <w:r>
        <w:rPr>
          <w:rFonts w:ascii="Arial" w:hAnsi="Arial"/>
          <w:b/>
          <w:color w:val="0F2E5A"/>
          <w:sz w:val="20"/>
        </w:rPr>
        <w:t xml:space="preserve">One-Click Startup Automation: </w:t>
      </w:r>
      <w:r>
        <w:rPr>
          <w:rFonts w:ascii="Arial" w:hAnsi="Arial"/>
          <w:color w:val="334155"/>
          <w:sz w:val="20"/>
        </w:rPr>
        <w:t>A Windows startup script (start.bat) verifies environment prerequisites, checks Python dependencies, initializes database migrations (init_db.py), and launches Uvicorn.</w:t>
      </w:r>
    </w:p>
    <w:p>
      <w:r>
        <w:br w:type="page"/>
      </w:r>
    </w:p>
    <w:p>
      <w:pPr>
        <w:keepNext/>
        <w:spacing w:before="320" w:after="120"/>
      </w:pPr>
      <w:r>
        <w:rPr>
          <w:rFonts w:ascii="Arial" w:hAnsi="Arial"/>
          <w:b/>
          <w:color w:val="0C2340"/>
          <w:sz w:val="32"/>
        </w:rPr>
        <w:t>Appendix A: Glossary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2880"/>
            <w:shd w:fill="0C2340"/>
            <w:tcMar>
              <w:top w:w="140" w:type="dxa"/>
              <w:bottom w:w="140" w:type="dxa"/>
              <w:left w:w="140" w:type="dxa"/>
              <w:right w:w="140" w:type="dxa"/>
            </w:tcMar>
          </w:tcPr>
          <w:p>
            <w:pPr>
              <w:spacing w:before="40" w:after="40"/>
              <w:jc w:val="left"/>
            </w:pPr>
            <w:r>
              <w:rPr>
                <w:rFonts w:ascii="Arial" w:hAnsi="Arial"/>
                <w:b/>
                <w:color w:val="FFFFFF"/>
                <w:sz w:val="19"/>
              </w:rPr>
              <w:t>Term / Acronym</w:t>
            </w:r>
          </w:p>
        </w:tc>
        <w:tc>
          <w:tcPr>
            <w:tcW w:type="dxa" w:w="6480"/>
            <w:shd w:fill="0C2340"/>
            <w:tcMar>
              <w:top w:w="140" w:type="dxa"/>
              <w:bottom w:w="140" w:type="dxa"/>
              <w:left w:w="140" w:type="dxa"/>
              <w:right w:w="140" w:type="dxa"/>
            </w:tcMar>
          </w:tcPr>
          <w:p>
            <w:pPr>
              <w:spacing w:before="40" w:after="40"/>
              <w:jc w:val="left"/>
            </w:pPr>
            <w:r>
              <w:rPr>
                <w:rFonts w:ascii="Arial" w:hAnsi="Arial"/>
                <w:b/>
                <w:color w:val="FFFFFF"/>
                <w:sz w:val="19"/>
              </w:rPr>
              <w:t>Full Definition &amp; Contextual Meaning in Blue Sentinel</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AUV</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Autonomous Underwater Vehicle; an uncrewed, self-propelled submersible robot equipped with sensors and cameras for benthic marine mapping.</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Benthic Zone</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The lowest ecological region at the very bottom of an ocean, sea, or lake, including the sediment surface and subsurface layers.</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Bounding Box (BBox)</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A set of four pixel coordinates [x1, y1, x2, y2] identifying the precise rectangular enclosing boundary of an object in an optical image.</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Confidence Score</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A normalized scalar probability (ranging from 0.00 to 1.00) output by the neural network indicating model certainty that a detection is correct.</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CUDA</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Compute Unified Device Architecture; NVIDIA's parallel computing platform enabling GPU acceleration for deep learning tensor operations.</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D-FINE</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Redefine Bounding Box Regression for Real-Time Object Detection; advanced state-of-the-art detector utilizing fine-grained distribution refinement.</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FastAPI</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Modern, high-performance, asynchronous Python web framework used for serving REST APIs and orchestrating model inference.</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Geofence</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A virtual geographic boundary defined by GPS latitude and longitude coordinates or coastal sector boundaries associated with an optical survey.</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Ghost Gear</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Abandoned, lost, or discarded fishing gear (including nets, ropes, and traps) that continues to indiscriminately catch and kill marine life.</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HGNetV2-L</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High-Performance GPU Net Version 2 (Large); the deep backbone neural architecture utilized in the D-FINE model for robust multi-scale feature extraction.</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MARPOL Annex V</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International maritime treaty regulation prohibiting the disposal of any plastics and marine garbage into the sea from vessels.</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Pelagic Zone</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The open water column of oceans and seas away from the coast and ocean floor.</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pgvector</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An open-source PostgreSQL extension providing vector data types and high-performance vector similarity search (L2, cosine, dot product).</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PostgreSQL 18</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Enterprise-grade relational database management system utilized for persistent audit logs and spatial query storage.</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ROV</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Remotely Operated Vehicle; a tethered underwater mobile robot controlled by human operators on surface vessels.</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RT-DETR</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Real-Time Detection Transformer; object detection architecture combining transformer speed and precision for real-time edge processing.</w:t>
            </w:r>
          </w:p>
        </w:tc>
      </w:tr>
      <w:tr>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SRS</w:t>
            </w:r>
          </w:p>
        </w:tc>
        <w:tc>
          <w:tcPr>
            <w:tcW w:type="dxa" w:w="4680"/>
            <w:shd w:fill="FFFFFF"/>
            <w:tcMar>
              <w:top w:w="100" w:type="dxa"/>
              <w:bottom w:w="100" w:type="dxa"/>
              <w:left w:w="140" w:type="dxa"/>
              <w:right w:w="140" w:type="dxa"/>
            </w:tcMar>
            <w:vAlign w:val="center"/>
          </w:tcPr>
          <w:p>
            <w:pPr>
              <w:spacing w:before="40" w:after="40"/>
              <w:jc w:val="left"/>
            </w:pPr>
            <w:r>
              <w:rPr>
                <w:rFonts w:ascii="Arial" w:hAnsi="Arial"/>
                <w:color w:val="1E293B"/>
                <w:sz w:val="18"/>
              </w:rPr>
              <w:t>Software Requirements Specification; formal IEEE Std 830-1998 document establishing complete product specifications.</w:t>
            </w:r>
          </w:p>
        </w:tc>
      </w:tr>
      <w:tr>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TrashCan v2</w:t>
            </w:r>
          </w:p>
        </w:tc>
        <w:tc>
          <w:tcPr>
            <w:tcW w:type="dxa" w:w="4680"/>
            <w:shd w:fill="F8FAFC"/>
            <w:tcMar>
              <w:top w:w="100" w:type="dxa"/>
              <w:bottom w:w="100" w:type="dxa"/>
              <w:left w:w="140" w:type="dxa"/>
              <w:right w:w="140" w:type="dxa"/>
            </w:tcMar>
            <w:vAlign w:val="center"/>
          </w:tcPr>
          <w:p>
            <w:pPr>
              <w:spacing w:before="40" w:after="40"/>
              <w:jc w:val="left"/>
            </w:pPr>
            <w:r>
              <w:rPr>
                <w:rFonts w:ascii="Arial" w:hAnsi="Arial"/>
                <w:color w:val="1E293B"/>
                <w:sz w:val="18"/>
              </w:rPr>
              <w:t>Large-scale benchmark dataset of annotated underwater images curated by the University of Minnesota and JAMSTEC, featuring 22 classes.</w:t>
            </w:r>
          </w:p>
        </w:tc>
      </w:tr>
    </w:tbl>
    <w:p>
      <w:r>
        <w:br w:type="page"/>
      </w:r>
    </w:p>
    <w:p>
      <w:pPr>
        <w:keepNext/>
        <w:spacing w:before="320" w:after="120"/>
      </w:pPr>
      <w:r>
        <w:rPr>
          <w:rFonts w:ascii="Arial" w:hAnsi="Arial"/>
          <w:b/>
          <w:color w:val="0C2340"/>
          <w:sz w:val="32"/>
        </w:rPr>
        <w:t>Appendix B: Analysis Models</w:t>
      </w:r>
    </w:p>
    <w:p>
      <w:pPr>
        <w:keepNext/>
        <w:spacing w:before="240" w:after="80"/>
      </w:pPr>
      <w:r>
        <w:rPr>
          <w:rFonts w:ascii="Arial" w:hAnsi="Arial"/>
          <w:b/>
          <w:color w:val="0F2E5A"/>
          <w:sz w:val="25"/>
        </w:rPr>
        <w:t>B.1 System Context &amp; Architecture Model</w:t>
      </w:r>
    </w:p>
    <w:p>
      <w:r>
        <w:t>The Blue Sentinel system architecture is designed around an asynchronous client-server model decoupled into four primary tiers:</w:t>
      </w:r>
    </w:p>
    <w:p>
      <w:pPr>
        <w:pStyle w:val="ListBullet"/>
        <w:spacing w:before="20" w:after="60" w:line="276" w:lineRule="auto"/>
      </w:pPr>
      <w:r>
        <w:rPr>
          <w:rFonts w:ascii="Arial" w:hAnsi="Arial"/>
          <w:b/>
          <w:color w:val="0F2E5A"/>
          <w:sz w:val="20"/>
        </w:rPr>
        <w:t xml:space="preserve">Tier 1: Client Visual Presentation Layer: </w:t>
      </w:r>
      <w:r>
        <w:rPr>
          <w:rFonts w:ascii="Arial" w:hAnsi="Arial"/>
          <w:color w:val="334155"/>
          <w:sz w:val="20"/>
        </w:rPr>
        <w:t>React 19 + Vite dashboard providing user controls, HTML5 interactive canvas rendering, and print/PDF audit compilation.</w:t>
      </w:r>
    </w:p>
    <w:p>
      <w:pPr>
        <w:pStyle w:val="ListBullet"/>
        <w:spacing w:before="20" w:after="60" w:line="276" w:lineRule="auto"/>
      </w:pPr>
      <w:r>
        <w:rPr>
          <w:rFonts w:ascii="Arial" w:hAnsi="Arial"/>
          <w:b/>
          <w:color w:val="0F2E5A"/>
          <w:sz w:val="20"/>
        </w:rPr>
        <w:t xml:space="preserve">Tier 2: Asynchronous REST API Gateway: </w:t>
      </w:r>
      <w:r>
        <w:rPr>
          <w:rFonts w:ascii="Arial" w:hAnsi="Arial"/>
          <w:color w:val="334155"/>
          <w:sz w:val="20"/>
        </w:rPr>
        <w:t>FastAPI 0.141+ running under Uvicorn ASGI server, managing request routing, file validation, and JSON marshaling.</w:t>
      </w:r>
    </w:p>
    <w:p>
      <w:pPr>
        <w:pStyle w:val="ListBullet"/>
        <w:spacing w:before="20" w:after="60" w:line="276" w:lineRule="auto"/>
      </w:pPr>
      <w:r>
        <w:rPr>
          <w:rFonts w:ascii="Arial" w:hAnsi="Arial"/>
          <w:b/>
          <w:color w:val="0F2E5A"/>
          <w:sz w:val="20"/>
        </w:rPr>
        <w:t xml:space="preserve">Tier 3: In-Memory Deep Learning Engine: </w:t>
      </w:r>
      <w:r>
        <w:rPr>
          <w:rFonts w:ascii="Arial" w:hAnsi="Arial"/>
          <w:color w:val="334155"/>
          <w:sz w:val="20"/>
        </w:rPr>
        <w:t>RTDETRWrapper hosting D-FINE (HGNetV2-L) weights in GPU VRAM with FP16 autocasting for instant sub-second multi-class inference.</w:t>
      </w:r>
    </w:p>
    <w:p>
      <w:pPr>
        <w:pStyle w:val="ListBullet"/>
        <w:spacing w:before="20" w:after="60" w:line="276" w:lineRule="auto"/>
      </w:pPr>
      <w:r>
        <w:rPr>
          <w:rFonts w:ascii="Arial" w:hAnsi="Arial"/>
          <w:b/>
          <w:color w:val="0F2E5A"/>
          <w:sz w:val="20"/>
        </w:rPr>
        <w:t xml:space="preserve">Tier 4: Spatial-Relational Persistence Layer: </w:t>
      </w:r>
      <w:r>
        <w:rPr>
          <w:rFonts w:ascii="Arial" w:hAnsi="Arial"/>
          <w:color w:val="334155"/>
          <w:sz w:val="20"/>
        </w:rPr>
        <w:t>PostgreSQL 18 database with pgvector, storing scan batches, detections, coordinates, and embeddings.</w:t>
      </w:r>
    </w:p>
    <w:p>
      <w:pPr>
        <w:keepNext/>
        <w:spacing w:before="240" w:after="80"/>
      </w:pPr>
      <w:r>
        <w:rPr>
          <w:rFonts w:ascii="Arial" w:hAnsi="Arial"/>
          <w:b/>
          <w:color w:val="0F2E5A"/>
          <w:sz w:val="25"/>
        </w:rPr>
        <w:t>B.2 Data Flow Diagrams (DFD)</w:t>
      </w:r>
    </w:p>
    <w:p>
      <w:pPr>
        <w:keepNext/>
        <w:spacing w:before="160" w:after="60"/>
      </w:pPr>
      <w:r>
        <w:rPr>
          <w:rFonts w:ascii="Arial" w:hAnsi="Arial"/>
          <w:b/>
          <w:color w:val="1E293B"/>
          <w:sz w:val="21"/>
        </w:rPr>
        <w:t>B.2.1 Level-0 Context DFD</w:t>
      </w:r>
    </w:p>
    <w:p>
      <w:r>
        <w:t>In the Level-0 context model, the User (Marine Researcher / Cleanup Team / Harbor Surveyor) transmits an optical image and optional GPS metadata to the Blue Sentinel System boundary. The system processes the input and emits annotated bounding box imagery, confidence metrics, ecological severity badges, and downloadable PDF audit reports back to the User.</w:t>
      </w:r>
    </w:p>
    <w:p>
      <w:pPr>
        <w:keepNext/>
        <w:spacing w:before="160" w:after="60"/>
      </w:pPr>
      <w:r>
        <w:rPr>
          <w:rFonts w:ascii="Arial" w:hAnsi="Arial"/>
          <w:b/>
          <w:color w:val="1E293B"/>
          <w:sz w:val="21"/>
        </w:rPr>
        <w:t>B.2.2 Level-1 Detailed DFD</w:t>
      </w:r>
    </w:p>
    <w:p>
      <w:r>
        <w:t>The internal data flow across functional processes operates as follows:</w:t>
      </w:r>
    </w:p>
    <w:p>
      <w:pPr>
        <w:pStyle w:val="ListBullet"/>
        <w:spacing w:before="20" w:after="60" w:line="276" w:lineRule="auto"/>
      </w:pPr>
      <w:r>
        <w:rPr>
          <w:rFonts w:ascii="Arial" w:hAnsi="Arial"/>
          <w:b/>
          <w:color w:val="0F2E5A"/>
          <w:sz w:val="20"/>
        </w:rPr>
        <w:t xml:space="preserve">Process 1.0 (Ingestion &amp; Validation): </w:t>
      </w:r>
      <w:r>
        <w:rPr>
          <w:rFonts w:ascii="Arial" w:hAnsi="Arial"/>
          <w:color w:val="334155"/>
          <w:sz w:val="20"/>
        </w:rPr>
        <w:t>Accepts multipart/form-data image; validates magic byte headers; rejects corrupt files; generates a unique UUID4 batch identifier.</w:t>
      </w:r>
    </w:p>
    <w:p>
      <w:pPr>
        <w:pStyle w:val="ListBullet"/>
        <w:spacing w:before="20" w:after="60" w:line="276" w:lineRule="auto"/>
      </w:pPr>
      <w:r>
        <w:rPr>
          <w:rFonts w:ascii="Arial" w:hAnsi="Arial"/>
          <w:b/>
          <w:color w:val="0F2E5A"/>
          <w:sz w:val="20"/>
        </w:rPr>
        <w:t xml:space="preserve">Process 2.0 (Tensor Normalization): </w:t>
      </w:r>
      <w:r>
        <w:rPr>
          <w:rFonts w:ascii="Arial" w:hAnsi="Arial"/>
          <w:color w:val="334155"/>
          <w:sz w:val="20"/>
        </w:rPr>
        <w:t>Resizes image to 640x640 resolution; applies ImageNet transforms; transfers tensor to target compute device (CUDA / CPU).</w:t>
      </w:r>
    </w:p>
    <w:p>
      <w:pPr>
        <w:pStyle w:val="ListBullet"/>
        <w:spacing w:before="20" w:after="60" w:line="276" w:lineRule="auto"/>
      </w:pPr>
      <w:r>
        <w:rPr>
          <w:rFonts w:ascii="Arial" w:hAnsi="Arial"/>
          <w:b/>
          <w:color w:val="0F2E5A"/>
          <w:sz w:val="20"/>
        </w:rPr>
        <w:t xml:space="preserve">Process 3.0 (Neural Transformer Inference): </w:t>
      </w:r>
      <w:r>
        <w:rPr>
          <w:rFonts w:ascii="Arial" w:hAnsi="Arial"/>
          <w:color w:val="334155"/>
          <w:sz w:val="20"/>
        </w:rPr>
        <w:t>Executes forward pass through D-FINE (HGNetV2-L); extracts predicted classification logits, bounding box coordinates, and score vectors.</w:t>
      </w:r>
    </w:p>
    <w:p>
      <w:pPr>
        <w:pStyle w:val="ListBullet"/>
        <w:spacing w:before="20" w:after="60" w:line="276" w:lineRule="auto"/>
      </w:pPr>
      <w:r>
        <w:rPr>
          <w:rFonts w:ascii="Arial" w:hAnsi="Arial"/>
          <w:b/>
          <w:color w:val="0F2E5A"/>
          <w:sz w:val="20"/>
        </w:rPr>
        <w:t xml:space="preserve">Process 4.0 (Severity &amp; Threat Assessment): </w:t>
      </w:r>
      <w:r>
        <w:rPr>
          <w:rFonts w:ascii="Arial" w:hAnsi="Arial"/>
          <w:color w:val="334155"/>
          <w:sz w:val="20"/>
        </w:rPr>
        <w:t>Maps class labels against the 4-tier ecological severity matrix; computes aggregate ecological threat index.</w:t>
      </w:r>
    </w:p>
    <w:p>
      <w:pPr>
        <w:pStyle w:val="ListBullet"/>
        <w:spacing w:before="20" w:after="60" w:line="276" w:lineRule="auto"/>
      </w:pPr>
      <w:r>
        <w:rPr>
          <w:rFonts w:ascii="Arial" w:hAnsi="Arial"/>
          <w:b/>
          <w:color w:val="0F2E5A"/>
          <w:sz w:val="20"/>
        </w:rPr>
        <w:t xml:space="preserve">Process 5.0 (Persistence &amp; Artifact Storage): </w:t>
      </w:r>
      <w:r>
        <w:rPr>
          <w:rFonts w:ascii="Arial" w:hAnsi="Arial"/>
          <w:color w:val="334155"/>
          <w:sz w:val="20"/>
        </w:rPr>
        <w:t>Writes JPEG artifact to uploads/{uuid}.jpg; inserts records into scan_batches and detections SQL tables.</w:t>
      </w:r>
    </w:p>
    <w:p>
      <w:pPr>
        <w:pStyle w:val="ListBullet"/>
        <w:spacing w:before="20" w:after="60" w:line="276" w:lineRule="auto"/>
      </w:pPr>
      <w:r>
        <w:rPr>
          <w:rFonts w:ascii="Arial" w:hAnsi="Arial"/>
          <w:b/>
          <w:color w:val="0F2E5A"/>
          <w:sz w:val="20"/>
        </w:rPr>
        <w:t xml:space="preserve">Process 6.0 (Client Rendering &amp; Audit Export): </w:t>
      </w:r>
      <w:r>
        <w:rPr>
          <w:rFonts w:ascii="Arial" w:hAnsi="Arial"/>
          <w:color w:val="334155"/>
          <w:sz w:val="20"/>
        </w:rPr>
        <w:t>Serializes base64 image and detections JSON to client; renders interactive canvas; compiles print-ready audit modal.</w:t>
      </w:r>
    </w:p>
    <w:p>
      <w:pPr>
        <w:keepNext/>
        <w:spacing w:before="240" w:after="80"/>
      </w:pPr>
      <w:r>
        <w:rPr>
          <w:rFonts w:ascii="Arial" w:hAnsi="Arial"/>
          <w:b/>
          <w:color w:val="0F2E5A"/>
          <w:sz w:val="25"/>
        </w:rPr>
        <w:t>B.3 Use Case Model &amp; Execution Matrix</w:t>
      </w:r>
    </w:p>
    <w:p>
      <w:r>
        <w:t>The primary operational use cases implemented in Blue Sentinel are tabulated below:</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440"/>
            <w:shd w:fill="0C2340"/>
            <w:tcMar>
              <w:top w:w="140" w:type="dxa"/>
              <w:bottom w:w="140" w:type="dxa"/>
              <w:left w:w="140" w:type="dxa"/>
              <w:right w:w="140" w:type="dxa"/>
            </w:tcMar>
          </w:tcPr>
          <w:p>
            <w:pPr>
              <w:spacing w:before="40" w:after="40"/>
              <w:jc w:val="left"/>
            </w:pPr>
            <w:r>
              <w:rPr>
                <w:rFonts w:ascii="Arial" w:hAnsi="Arial"/>
                <w:b/>
                <w:color w:val="FFFFFF"/>
                <w:sz w:val="19"/>
              </w:rPr>
              <w:t>Use Case ID</w:t>
            </w:r>
          </w:p>
        </w:tc>
        <w:tc>
          <w:tcPr>
            <w:tcW w:type="dxa" w:w="2160"/>
            <w:shd w:fill="0C2340"/>
            <w:tcMar>
              <w:top w:w="140" w:type="dxa"/>
              <w:bottom w:w="140" w:type="dxa"/>
              <w:left w:w="140" w:type="dxa"/>
              <w:right w:w="140" w:type="dxa"/>
            </w:tcMar>
          </w:tcPr>
          <w:p>
            <w:pPr>
              <w:spacing w:before="40" w:after="40"/>
              <w:jc w:val="left"/>
            </w:pPr>
            <w:r>
              <w:rPr>
                <w:rFonts w:ascii="Arial" w:hAnsi="Arial"/>
                <w:b/>
                <w:color w:val="FFFFFF"/>
                <w:sz w:val="19"/>
              </w:rPr>
              <w:t>Use Case Name</w:t>
            </w:r>
          </w:p>
        </w:tc>
        <w:tc>
          <w:tcPr>
            <w:tcW w:type="dxa" w:w="2160"/>
            <w:shd w:fill="0C2340"/>
            <w:tcMar>
              <w:top w:w="140" w:type="dxa"/>
              <w:bottom w:w="140" w:type="dxa"/>
              <w:left w:w="140" w:type="dxa"/>
              <w:right w:w="140" w:type="dxa"/>
            </w:tcMar>
          </w:tcPr>
          <w:p>
            <w:pPr>
              <w:spacing w:before="40" w:after="40"/>
              <w:jc w:val="left"/>
            </w:pPr>
            <w:r>
              <w:rPr>
                <w:rFonts w:ascii="Arial" w:hAnsi="Arial"/>
                <w:b/>
                <w:color w:val="FFFFFF"/>
                <w:sz w:val="19"/>
              </w:rPr>
              <w:t>Primary Actors</w:t>
            </w:r>
          </w:p>
        </w:tc>
        <w:tc>
          <w:tcPr>
            <w:tcW w:type="dxa" w:w="1728"/>
            <w:shd w:fill="0C2340"/>
            <w:tcMar>
              <w:top w:w="140" w:type="dxa"/>
              <w:bottom w:w="140" w:type="dxa"/>
              <w:left w:w="140" w:type="dxa"/>
              <w:right w:w="140" w:type="dxa"/>
            </w:tcMar>
          </w:tcPr>
          <w:p>
            <w:pPr>
              <w:spacing w:before="40" w:after="40"/>
              <w:jc w:val="left"/>
            </w:pPr>
            <w:r>
              <w:rPr>
                <w:rFonts w:ascii="Arial" w:hAnsi="Arial"/>
                <w:b/>
                <w:color w:val="FFFFFF"/>
                <w:sz w:val="19"/>
              </w:rPr>
              <w:t>Pre-conditions</w:t>
            </w:r>
          </w:p>
        </w:tc>
        <w:tc>
          <w:tcPr>
            <w:tcW w:type="dxa" w:w="1872"/>
            <w:shd w:fill="0C2340"/>
            <w:tcMar>
              <w:top w:w="140" w:type="dxa"/>
              <w:bottom w:w="140" w:type="dxa"/>
              <w:left w:w="140" w:type="dxa"/>
              <w:right w:w="140" w:type="dxa"/>
            </w:tcMar>
          </w:tcPr>
          <w:p>
            <w:pPr>
              <w:spacing w:before="40" w:after="40"/>
              <w:jc w:val="left"/>
            </w:pPr>
            <w:r>
              <w:rPr>
                <w:rFonts w:ascii="Arial" w:hAnsi="Arial"/>
                <w:b/>
                <w:color w:val="FFFFFF"/>
                <w:sz w:val="19"/>
              </w:rPr>
              <w:t>Post-conditions</w:t>
            </w:r>
          </w:p>
        </w:tc>
      </w:tr>
      <w:tr>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UC-01</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Upload &amp; Detect Debris</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Researcher, Cleanup Team, Surveyor</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Valid optical image selected; backend server active.</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Annotated canvas rendered; audit record persisted in database.</w:t>
            </w:r>
          </w:p>
        </w:tc>
      </w:tr>
      <w:tr>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UC-02</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Adjust Confidence Threshold</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Marine Researcher, Biologist</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Detection results currently displayed on canvas.</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Canvas bounding boxes re-filtered dynamically without backend request.</w:t>
            </w:r>
          </w:p>
        </w:tc>
      </w:tr>
      <w:tr>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UC-03</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Tag Geographic Metadata</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Harbor Surveyor, Field Operator</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Image uploaded in ImageUploader.</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GPS coordinates and sector name bound to scan batch record.</w:t>
            </w:r>
          </w:p>
        </w:tc>
      </w:tr>
      <w:tr>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UC-04</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Generate &amp; Download Audit PDF</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All User Classes</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Successful detection completed.</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Official formatted A4 environmental audit PDF exported to local disk.</w:t>
            </w:r>
          </w:p>
        </w:tc>
      </w:tr>
      <w:tr>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UC-05</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Browse Historical Audits</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All User Classes</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At least one prior scan batch stored in database.</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Paginated list of historical audits displayed with metadata.</w:t>
            </w:r>
          </w:p>
        </w:tc>
      </w:tr>
      <w:tr>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UC-06</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Inspect Historical Batch Detail</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All User Classes</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Historical audit selected from list.</w:t>
            </w:r>
          </w:p>
        </w:tc>
        <w:tc>
          <w:tcPr>
            <w:tcW w:type="dxa" w:w="1872"/>
            <w:shd w:fill="F8FAFC"/>
            <w:tcMar>
              <w:top w:w="100" w:type="dxa"/>
              <w:bottom w:w="100" w:type="dxa"/>
              <w:left w:w="140" w:type="dxa"/>
              <w:right w:w="140" w:type="dxa"/>
            </w:tcMar>
            <w:vAlign w:val="center"/>
          </w:tcPr>
          <w:p>
            <w:pPr>
              <w:spacing w:before="40" w:after="40"/>
              <w:jc w:val="left"/>
            </w:pPr>
            <w:r>
              <w:rPr>
                <w:rFonts w:ascii="Arial" w:hAnsi="Arial"/>
                <w:color w:val="1E293B"/>
                <w:sz w:val="18"/>
              </w:rPr>
              <w:t>Full bounding box breakdown and annotated image re-rendered for inspection.</w:t>
            </w:r>
          </w:p>
        </w:tc>
      </w:tr>
      <w:tr>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UC-07</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View Aggregate Macro Stats</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Researcher, Harbor Authority</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Backend database online.</w:t>
            </w:r>
          </w:p>
        </w:tc>
        <w:tc>
          <w:tcPr>
            <w:tcW w:type="dxa" w:w="1872"/>
            <w:shd w:fill="FFFFFF"/>
            <w:tcMar>
              <w:top w:w="100" w:type="dxa"/>
              <w:bottom w:w="100" w:type="dxa"/>
              <w:left w:w="140" w:type="dxa"/>
              <w:right w:w="140" w:type="dxa"/>
            </w:tcMar>
            <w:vAlign w:val="center"/>
          </w:tcPr>
          <w:p>
            <w:pPr>
              <w:spacing w:before="40" w:after="40"/>
              <w:jc w:val="left"/>
            </w:pPr>
            <w:r>
              <w:rPr>
                <w:rFonts w:ascii="Arial" w:hAnsi="Arial"/>
                <w:color w:val="1E293B"/>
                <w:sz w:val="18"/>
              </w:rPr>
              <w:t>Global counts, class distributions, and average confidence metrics displayed.</w:t>
            </w:r>
          </w:p>
        </w:tc>
      </w:tr>
    </w:tbl>
    <w:p>
      <w:pPr>
        <w:keepNext/>
        <w:spacing w:before="240" w:after="80"/>
      </w:pPr>
      <w:r>
        <w:rPr>
          <w:rFonts w:ascii="Arial" w:hAnsi="Arial"/>
          <w:b/>
          <w:color w:val="0F2E5A"/>
          <w:sz w:val="25"/>
        </w:rPr>
        <w:t>B.4 Entity-Relationship Diagram (ERD) &amp; Relational Schema</w:t>
      </w:r>
    </w:p>
    <w:p>
      <w:r>
        <w:t>Blue Sentinel implements a normalized relational database schema in PostgreSQL 18 with pgvector: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728"/>
            <w:shd w:fill="0C2340"/>
            <w:tcMar>
              <w:top w:w="140" w:type="dxa"/>
              <w:bottom w:w="140" w:type="dxa"/>
              <w:left w:w="140" w:type="dxa"/>
              <w:right w:w="140" w:type="dxa"/>
            </w:tcMar>
          </w:tcPr>
          <w:p>
            <w:pPr>
              <w:spacing w:before="40" w:after="40"/>
              <w:jc w:val="left"/>
            </w:pPr>
            <w:r>
              <w:rPr>
                <w:rFonts w:ascii="Arial" w:hAnsi="Arial"/>
                <w:b/>
                <w:color w:val="FFFFFF"/>
                <w:sz w:val="19"/>
              </w:rPr>
              <w:t>Table Name</w:t>
            </w:r>
          </w:p>
        </w:tc>
        <w:tc>
          <w:tcPr>
            <w:tcW w:type="dxa" w:w="2160"/>
            <w:shd w:fill="0C2340"/>
            <w:tcMar>
              <w:top w:w="140" w:type="dxa"/>
              <w:bottom w:w="140" w:type="dxa"/>
              <w:left w:w="140" w:type="dxa"/>
              <w:right w:w="140" w:type="dxa"/>
            </w:tcMar>
          </w:tcPr>
          <w:p>
            <w:pPr>
              <w:spacing w:before="40" w:after="40"/>
              <w:jc w:val="left"/>
            </w:pPr>
            <w:r>
              <w:rPr>
                <w:rFonts w:ascii="Arial" w:hAnsi="Arial"/>
                <w:b/>
                <w:color w:val="FFFFFF"/>
                <w:sz w:val="19"/>
              </w:rPr>
              <w:t>Column Name</w:t>
            </w:r>
          </w:p>
        </w:tc>
        <w:tc>
          <w:tcPr>
            <w:tcW w:type="dxa" w:w="1872"/>
            <w:shd w:fill="0C2340"/>
            <w:tcMar>
              <w:top w:w="140" w:type="dxa"/>
              <w:bottom w:w="140" w:type="dxa"/>
              <w:left w:w="140" w:type="dxa"/>
              <w:right w:w="140" w:type="dxa"/>
            </w:tcMar>
          </w:tcPr>
          <w:p>
            <w:pPr>
              <w:spacing w:before="40" w:after="40"/>
              <w:jc w:val="left"/>
            </w:pPr>
            <w:r>
              <w:rPr>
                <w:rFonts w:ascii="Arial" w:hAnsi="Arial"/>
                <w:b/>
                <w:color w:val="FFFFFF"/>
                <w:sz w:val="19"/>
              </w:rPr>
              <w:t>Data Type</w:t>
            </w:r>
          </w:p>
        </w:tc>
        <w:tc>
          <w:tcPr>
            <w:tcW w:type="dxa" w:w="3600"/>
            <w:shd w:fill="0C2340"/>
            <w:tcMar>
              <w:top w:w="140" w:type="dxa"/>
              <w:bottom w:w="140" w:type="dxa"/>
              <w:left w:w="140" w:type="dxa"/>
              <w:right w:w="140" w:type="dxa"/>
            </w:tcMar>
          </w:tcPr>
          <w:p>
            <w:pPr>
              <w:spacing w:before="40" w:after="40"/>
              <w:jc w:val="left"/>
            </w:pPr>
            <w:r>
              <w:rPr>
                <w:rFonts w:ascii="Arial" w:hAnsi="Arial"/>
                <w:b/>
                <w:color w:val="FFFFFF"/>
                <w:sz w:val="19"/>
              </w:rPr>
              <w:t>Constraints &amp; Description</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id</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UUID</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PRIMARY KEY (Unique audit batch identifier)</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filename</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VARCHAR(255)</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Original submitted image file name</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image_path</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VARCHAR(512)</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Relative storage path to annotated JPEG (/uploads/{uuid}.jpg)</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total_detections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INTEGER</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Cached count of detected debris and organisms</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gps_lat</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FLOAT (Nullable)</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Geographic latitude coordinate</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gps_lon</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FLOAT (Nullable)</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Geographic longitude coordinate</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geofence_zone</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VARCHAR(100)</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Named marine sector or coastal survey zone</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embedding</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vector(512)</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pgvector 512-dim visual feature representation</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scan_batches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created_at</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TIMESTAMPTZ</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Indexed creation timestamp with timezone</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detections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id</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UUID</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PRIMARY KEY (Unique individual detection identifier)</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detections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batch_id</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UUID</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FOREIGN KEY -&gt; scan_batches(id) ON DELETE CASCADE</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detections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class_name</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VARCHAR(100)</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TrashCan v2 taxonomy class label</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detections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confidence</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REAL</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Model probability score (0.00 to 1.00)</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detections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severity</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VARCHAR(50)</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Ecological threat rating (critical, high, medium, low)</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detections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bbox_x1, bbox_y1</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REAL</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Top-left bounding box pixel coordinates</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detections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bbox_x2, bbox_y2</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REAL</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Bottom-right bounding box pixel coordinates</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detections</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created_at</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TIMESTAMPTZ</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Timestamp of detection generation</w:t>
            </w:r>
          </w:p>
        </w:tc>
      </w:tr>
    </w:tbl>
    <w:p>
      <w:pPr>
        <w:keepNext/>
        <w:spacing w:before="240" w:after="80"/>
      </w:pPr>
      <w:r>
        <w:rPr>
          <w:rFonts w:ascii="Arial" w:hAnsi="Arial"/>
          <w:b/>
          <w:color w:val="0F2E5A"/>
          <w:sz w:val="25"/>
        </w:rPr>
        <w:t>B.5 State Transition Model</w:t>
      </w:r>
    </w:p>
    <w:p>
      <w:r>
        <w:t>The operational lifecycle of an image submission transitions through five defined states:</w:t>
      </w:r>
    </w:p>
    <w:p>
      <w:pPr>
        <w:pStyle w:val="ListBullet"/>
        <w:spacing w:before="20" w:after="60" w:line="276" w:lineRule="auto"/>
      </w:pPr>
      <w:r>
        <w:rPr>
          <w:rFonts w:ascii="Arial" w:hAnsi="Arial"/>
          <w:b/>
          <w:color w:val="0F2E5A"/>
          <w:sz w:val="20"/>
        </w:rPr>
        <w:t xml:space="preserve">State 1 [IDLE / STANDBY]: </w:t>
      </w:r>
      <w:r>
        <w:rPr>
          <w:rFonts w:ascii="Arial" w:hAnsi="Arial"/>
          <w:color w:val="334155"/>
          <w:sz w:val="20"/>
        </w:rPr>
        <w:t>Dashboard ready; user views empty dropzone or sample selection carousel.</w:t>
      </w:r>
    </w:p>
    <w:p>
      <w:pPr>
        <w:pStyle w:val="ListBullet"/>
        <w:spacing w:before="20" w:after="60" w:line="276" w:lineRule="auto"/>
      </w:pPr>
      <w:r>
        <w:rPr>
          <w:rFonts w:ascii="Arial" w:hAnsi="Arial"/>
          <w:b/>
          <w:color w:val="0F2E5A"/>
          <w:sz w:val="20"/>
        </w:rPr>
        <w:t xml:space="preserve">State 2 [IMAGE SELECTED]: </w:t>
      </w:r>
      <w:r>
        <w:rPr>
          <w:rFonts w:ascii="Arial" w:hAnsi="Arial"/>
          <w:color w:val="334155"/>
          <w:sz w:val="20"/>
        </w:rPr>
        <w:t>Image file staged in memory; metadata inputs enabled; validation passed.</w:t>
      </w:r>
    </w:p>
    <w:p>
      <w:pPr>
        <w:pStyle w:val="ListBullet"/>
        <w:spacing w:before="20" w:after="60" w:line="276" w:lineRule="auto"/>
      </w:pPr>
      <w:r>
        <w:rPr>
          <w:rFonts w:ascii="Arial" w:hAnsi="Arial"/>
          <w:b/>
          <w:color w:val="0F2E5A"/>
          <w:sz w:val="20"/>
        </w:rPr>
        <w:t xml:space="preserve">State 3 [INFERENCE &amp; PERSISTENCE]: </w:t>
      </w:r>
      <w:r>
        <w:rPr>
          <w:rFonts w:ascii="Arial" w:hAnsi="Arial"/>
          <w:color w:val="334155"/>
          <w:sz w:val="20"/>
        </w:rPr>
        <w:t>HTTP POST active; dual-ring loading spinner visible; GPU model executing; SQL transaction open.</w:t>
      </w:r>
    </w:p>
    <w:p>
      <w:pPr>
        <w:pStyle w:val="ListBullet"/>
        <w:spacing w:before="20" w:after="60" w:line="276" w:lineRule="auto"/>
      </w:pPr>
      <w:r>
        <w:rPr>
          <w:rFonts w:ascii="Arial" w:hAnsi="Arial"/>
          <w:b/>
          <w:color w:val="0F2E5A"/>
          <w:sz w:val="20"/>
        </w:rPr>
        <w:t xml:space="preserve">State 4 [INSPECTION &amp; FILTERING]: </w:t>
      </w:r>
      <w:r>
        <w:rPr>
          <w:rFonts w:ascii="Arial" w:hAnsi="Arial"/>
          <w:color w:val="334155"/>
          <w:sz w:val="20"/>
        </w:rPr>
        <w:t>Results mounted; bounding boxes rendered; interactive slider and class toggles active.</w:t>
      </w:r>
    </w:p>
    <w:p>
      <w:pPr>
        <w:pStyle w:val="ListBullet"/>
        <w:spacing w:before="20" w:after="60" w:line="276" w:lineRule="auto"/>
      </w:pPr>
      <w:r>
        <w:rPr>
          <w:rFonts w:ascii="Arial" w:hAnsi="Arial"/>
          <w:b/>
          <w:color w:val="0F2E5A"/>
          <w:sz w:val="20"/>
        </w:rPr>
        <w:t xml:space="preserve">State 5 [AUDIT EXPORT]: </w:t>
      </w:r>
      <w:r>
        <w:rPr>
          <w:rFonts w:ascii="Arial" w:hAnsi="Arial"/>
          <w:color w:val="334155"/>
          <w:sz w:val="20"/>
        </w:rPr>
        <w:t>ReportPanel modal active; user printing or exporting PDF document.</w:t>
      </w:r>
    </w:p>
    <w:p>
      <w:r>
        <w:br w:type="page"/>
      </w:r>
    </w:p>
    <w:p>
      <w:pPr>
        <w:keepNext/>
        <w:spacing w:before="320" w:after="120"/>
      </w:pPr>
      <w:r>
        <w:rPr>
          <w:rFonts w:ascii="Arial" w:hAnsi="Arial"/>
          <w:b/>
          <w:color w:val="0C2340"/>
          <w:sz w:val="32"/>
        </w:rPr>
        <w:t>Appendix C: To Be Determined (TBD) List</w:t>
      </w:r>
    </w:p>
    <w:p>
      <w:r>
        <w:t>In accordance with IEEE Std 830-1998 guidelines, the following numbered items represent technical extensions, target production parameters, and experimental integrations scheduled for subsequent developmental iterations: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440"/>
            <w:shd w:fill="0C2340"/>
            <w:tcMar>
              <w:top w:w="140" w:type="dxa"/>
              <w:bottom w:w="140" w:type="dxa"/>
              <w:left w:w="140" w:type="dxa"/>
              <w:right w:w="140" w:type="dxa"/>
            </w:tcMar>
          </w:tcPr>
          <w:p>
            <w:pPr>
              <w:spacing w:before="40" w:after="40"/>
              <w:jc w:val="left"/>
            </w:pPr>
            <w:r>
              <w:rPr>
                <w:rFonts w:ascii="Arial" w:hAnsi="Arial"/>
                <w:b/>
                <w:color w:val="FFFFFF"/>
                <w:sz w:val="19"/>
              </w:rPr>
              <w:t>TBD ID</w:t>
            </w:r>
          </w:p>
        </w:tc>
        <w:tc>
          <w:tcPr>
            <w:tcW w:type="dxa" w:w="2160"/>
            <w:shd w:fill="0C2340"/>
            <w:tcMar>
              <w:top w:w="140" w:type="dxa"/>
              <w:bottom w:w="140" w:type="dxa"/>
              <w:left w:w="140" w:type="dxa"/>
              <w:right w:w="140" w:type="dxa"/>
            </w:tcMar>
          </w:tcPr>
          <w:p>
            <w:pPr>
              <w:spacing w:before="40" w:after="40"/>
              <w:jc w:val="left"/>
            </w:pPr>
            <w:r>
              <w:rPr>
                <w:rFonts w:ascii="Arial" w:hAnsi="Arial"/>
                <w:b/>
                <w:color w:val="FFFFFF"/>
                <w:sz w:val="19"/>
              </w:rPr>
              <w:t>Subsystem / Feature</w:t>
            </w:r>
          </w:p>
        </w:tc>
        <w:tc>
          <w:tcPr>
            <w:tcW w:type="dxa" w:w="3600"/>
            <w:shd w:fill="0C2340"/>
            <w:tcMar>
              <w:top w:w="140" w:type="dxa"/>
              <w:bottom w:w="140" w:type="dxa"/>
              <w:left w:w="140" w:type="dxa"/>
              <w:right w:w="140" w:type="dxa"/>
            </w:tcMar>
          </w:tcPr>
          <w:p>
            <w:pPr>
              <w:spacing w:before="40" w:after="40"/>
              <w:jc w:val="left"/>
            </w:pPr>
            <w:r>
              <w:rPr>
                <w:rFonts w:ascii="Arial" w:hAnsi="Arial"/>
                <w:b/>
                <w:color w:val="FFFFFF"/>
                <w:sz w:val="19"/>
              </w:rPr>
              <w:t>Description of Open Item</w:t>
            </w:r>
          </w:p>
        </w:tc>
        <w:tc>
          <w:tcPr>
            <w:tcW w:type="dxa" w:w="2160"/>
            <w:shd w:fill="0C2340"/>
            <w:tcMar>
              <w:top w:w="140" w:type="dxa"/>
              <w:bottom w:w="140" w:type="dxa"/>
              <w:left w:w="140" w:type="dxa"/>
              <w:right w:w="140" w:type="dxa"/>
            </w:tcMar>
          </w:tcPr>
          <w:p>
            <w:pPr>
              <w:spacing w:before="40" w:after="40"/>
              <w:jc w:val="left"/>
            </w:pPr>
            <w:r>
              <w:rPr>
                <w:rFonts w:ascii="Arial" w:hAnsi="Arial"/>
                <w:b/>
                <w:color w:val="FFFFFF"/>
                <w:sz w:val="19"/>
              </w:rPr>
              <w:t>Target Resolution</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TBD-01</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Vector Search API</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Implementation of pgvector cosine similarity endpoint to query past scans visually similar to an uploaded target image.</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Release 2.1</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TBD-02</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Live Video Stream Pipeline</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Integration of WebRTC or RTSP video stream ingest for real-time live ROV dive monitoring at 15+ FPS.</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Release 3.0</w:t>
            </w:r>
          </w:p>
        </w:tc>
      </w:tr>
      <w:tr>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TBD-03</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Dual-Node Distributed Deployment</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Decoupled physical node network deployment separating high-memory GPU inference servers from frontend web nodes via Tailscale/WireGuard.</w:t>
            </w:r>
          </w:p>
        </w:tc>
        <w:tc>
          <w:tcPr>
            <w:tcW w:type="dxa" w:w="2340"/>
            <w:shd w:fill="FFFFFF"/>
            <w:tcMar>
              <w:top w:w="100" w:type="dxa"/>
              <w:bottom w:w="100" w:type="dxa"/>
              <w:left w:w="140" w:type="dxa"/>
              <w:right w:w="140" w:type="dxa"/>
            </w:tcMar>
            <w:vAlign w:val="center"/>
          </w:tcPr>
          <w:p>
            <w:pPr>
              <w:spacing w:before="40" w:after="40"/>
              <w:jc w:val="left"/>
            </w:pPr>
            <w:r>
              <w:rPr>
                <w:rFonts w:ascii="Arial" w:hAnsi="Arial"/>
                <w:color w:val="1E293B"/>
                <w:sz w:val="18"/>
              </w:rPr>
              <w:t>Release 2.5</w:t>
            </w:r>
          </w:p>
        </w:tc>
      </w:tr>
      <w:tr>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TBD-04</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Automated EXIF Coordinate Ingestion</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Automated parsing of submerged camera EXIF/XMP spatial tags to pre-populate GPS latitude/longitude without manual entry.</w:t>
            </w:r>
          </w:p>
        </w:tc>
        <w:tc>
          <w:tcPr>
            <w:tcW w:type="dxa" w:w="2340"/>
            <w:shd w:fill="F8FAFC"/>
            <w:tcMar>
              <w:top w:w="100" w:type="dxa"/>
              <w:bottom w:w="100" w:type="dxa"/>
              <w:left w:w="140" w:type="dxa"/>
              <w:right w:w="140" w:type="dxa"/>
            </w:tcMar>
            <w:vAlign w:val="center"/>
          </w:tcPr>
          <w:p>
            <w:pPr>
              <w:spacing w:before="40" w:after="40"/>
              <w:jc w:val="left"/>
            </w:pPr>
            <w:r>
              <w:rPr>
                <w:rFonts w:ascii="Arial" w:hAnsi="Arial"/>
                <w:color w:val="1E293B"/>
                <w:sz w:val="18"/>
              </w:rPr>
              <w:t>Release 2.2</w:t>
            </w:r>
          </w:p>
        </w:tc>
      </w:tr>
    </w:tbl>
    <w:p>
      <w:pPr>
        <w:spacing w:before="48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180" w:type="dxa"/>
            </w:tcMar>
            <w:tcBorders>
              <w:left w:val="single" w:sz="24" w:space="0" w:color="10B981"/>
              <w:top w:val="none"/>
              <w:right w:val="none"/>
              <w:bottom w:val="none"/>
            </w:tcBorders>
          </w:tcPr>
          <w:p>
            <w:pPr>
              <w:spacing w:before="40" w:after="40"/>
            </w:pPr>
            <w:r>
              <w:rPr>
                <w:rFonts w:ascii="Arial" w:hAnsi="Arial"/>
                <w:b/>
                <w:color w:val="0C2340"/>
                <w:sz w:val="19"/>
              </w:rPr>
              <w:t xml:space="preserve">DOCUMENT COMPLETION NOTICE: </w:t>
            </w:r>
            <w:r>
              <w:rPr>
                <w:rFonts w:ascii="Arial" w:hAnsi="Arial"/>
                <w:color w:val="334155"/>
                <w:sz w:val="19"/>
              </w:rPr>
              <w:t>This document constitutes the official Software Requirements Specification for Blue Sentinel Version 2.0, fully aligned with IEEE Std 830-1998 requirements engineering standards and verified against the deployed PyTorch, FastAPI, React 19, and PostgreSQL 18 codebase.</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Confidential — Academic &amp; Technical Evaluation Document (Team G1384)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Blue Sentinel — Software Requirements Specification (IEEE 830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