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2021年03月会计系统录入报告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账套：幻式（江门新会）服装有限公司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生成时间：2026-03-29</w:t>
      </w:r>
    </w:p>
    <w:p>
      <w:r>
        <w:rPr>
          <w:rFonts w:ascii="Microsoft YaHei" w:hAnsi="Microsoft YaHei" w:eastAsia="Microsoft YaHei"/>
          <w:b/>
          <w:sz w:val="28"/>
        </w:rPr>
        <w:t>一、执行结论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本月按最小确定信息原则处理 2021 年 3 月银行流水。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已录入 11 张凭证，合计 53,777.50 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已录入项目包含：银行手续费、印花税、对公且用途明确的预付款、可比照历史模式确认的办公耗材费。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未录入项目均已挂起，并明确列出原因及还需补充的最小信息。</w:t>
      </w:r>
    </w:p>
    <w:p>
      <w:r>
        <w:rPr>
          <w:rFonts w:ascii="Microsoft YaHei" w:hAnsi="Microsoft YaHei" w:eastAsia="Microsoft YaHei"/>
          <w:b/>
          <w:sz w:val="28"/>
        </w:rPr>
        <w:t>二、已录入汇总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项目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内容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凭证数量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11 张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录入金额合计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53,777.50 元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银行手续费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 张，64.80 元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印花税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 张，14.30 元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对公预付款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 张，53,455.40 元</w:t>
            </w:r>
          </w:p>
        </w:tc>
      </w:tr>
      <w:tr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办公耗材费</w:t>
            </w:r>
          </w:p>
        </w:tc>
        <w:tc>
          <w:tcPr>
            <w:tcW w:type="dxa" w:w="4646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 张，243.00 元</w:t>
            </w:r>
          </w:p>
        </w:tc>
      </w:tr>
    </w:tbl>
    <w:p>
      <w:r>
        <w:rPr>
          <w:rFonts w:ascii="Microsoft YaHei" w:hAnsi="Microsoft YaHei" w:eastAsia="Microsoft YaHei"/>
          <w:b/>
          <w:sz w:val="28"/>
        </w:rPr>
        <w:t>三、已录入逐笔清单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日期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摘要/对手方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金额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结果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凭证及分录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2021-03-07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建行单位结算卡年费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10.00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付_1，借：手续费；贷：银行存款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2021-03-08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银行手续费合并（0.80 + 20.00）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20.80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付_2，借：手续费；贷：银行存款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2021-03-08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义乌市超宏烫画有限公司 货款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2,750.00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付_3，借：预付账款；贷：银行存款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2021-03-14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印花税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14.30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付_4，借：税金及附加-印花税；贷：银行存款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2021-03-22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义乌市超宏烫画有限公司 货款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4,180.00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付_5，借：预付账款；贷：银行存款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2021-03-26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上海衫城贸易有限公司 货款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36,706.40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付_6，借：预付账款；贷：银行存款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2021-03-27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银行手续费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7.50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付_7，借：手续费；贷：银行存款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义乌市超宏烫画有限公司 货款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7,700.00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付_8，借：预付账款；贷：银行存款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江门新艺高广告有限公司 供应商付款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2,119.00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付_9，保守按预付账款处理，未直接记广告费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银行手续费合并（10.00 + 9.00 + 7.50）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26.50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付_10，借：手续费；贷：银行存款</w:t>
            </w:r>
          </w:p>
        </w:tc>
      </w:tr>
      <w:tr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深圳东申艺术彩印有限公司 办公耗材费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243.00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已录入</w:t>
            </w:r>
          </w:p>
        </w:tc>
        <w:tc>
          <w:tcPr>
            <w:tcW w:type="dxa" w:w="1858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付_11，借：办公用品；贷：银行存款</w:t>
            </w:r>
          </w:p>
        </w:tc>
      </w:tr>
    </w:tbl>
    <w:p>
      <w:r>
        <w:rPr>
          <w:rFonts w:ascii="Microsoft YaHei" w:hAnsi="Microsoft YaHei" w:eastAsia="Microsoft YaHei"/>
          <w:b/>
          <w:sz w:val="28"/>
        </w:rPr>
        <w:t>四、未录入逐笔清单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日期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摘要/对手方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金额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结果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未录原因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补充后即可录入的信息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2021-03-12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陈慧莹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4,000.00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自然人付款，当前不能仅凭流水确认是否为工资或借款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确认是否为工资、所属月份、是否已计提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2021-03-12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廖健强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6,000.00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自然人付款，当前不能仅凭流水确认是否为工资或借款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确认是否为工资、所属月份、是否已计提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2021-03-14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ETS 社保扣款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2,079.70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社保扣款缺少公司承担和个人承担拆分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确认所属月份、公司承担金额、个人承担金额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2021-03-15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陈慧莹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5,498.62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自然人付款性质不明确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确认是工资、报销、借款还是其他往来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小额流入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13.37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无对手方和业务说明，不能直接认利息或其他收入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确认是否为银行利息、手续费返还或其他收入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2021-03-22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蓬江区世祥商行 流入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7,666.65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流入性质未定，可能是销售回款、退款或往来回款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确认业务性质及对应原业务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2021-03-23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陈慧莹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4,000.00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自然人付款性质不明确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确认是工资、报销、借款还是其他往来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2021-03-25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蓬江区世祥商行 流入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62,519.00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流入性质未定，不能直接认收入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确认是销售回款、退款还是往来回款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ETS 社保扣款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2,461.84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社保扣款缺少拆分信息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确认所属月份、公司承担金额、个人承担金额</w:t>
            </w:r>
          </w:p>
        </w:tc>
      </w:tr>
      <w:tr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2021-03-30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蓬江区世祥商行 流入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2,287.16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挂起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流入性质未定，无法直接确认会计科目</w:t>
            </w:r>
          </w:p>
        </w:tc>
        <w:tc>
          <w:tcPr>
            <w:tcW w:type="dxa" w:w="1549"/>
          </w:tcPr>
          <w:p>
            <w:r>
              <w:rPr>
                <w:rFonts w:ascii="Microsoft YaHei" w:hAnsi="Microsoft YaHei" w:eastAsia="Microsoft YaHei"/>
                <w:b w:val="0"/>
                <w:sz w:val="22"/>
              </w:rPr>
              <w:t>确认业务性质及对应原业务</w:t>
            </w:r>
          </w:p>
        </w:tc>
      </w:tr>
    </w:tbl>
    <w:p>
      <w:r>
        <w:rPr>
          <w:rFonts w:ascii="Microsoft YaHei" w:hAnsi="Microsoft YaHei" w:eastAsia="Microsoft YaHei"/>
          <w:b/>
          <w:sz w:val="28"/>
        </w:rPr>
        <w:t>五、下一步建议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如果你补充陈慧莹、廖健强的付款性质，我可以立即把工资或往来部分补录。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如果你补充两笔 ETS 的公司承担和个人承担拆分，我可以把社保部分补录。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如果你确认世祥商行三笔流入分别属于销售回款、退款还是往来回款，我可以继续补录 2021 年 3 月剩余流水。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