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papertitle"/>
      </w:pPr>
      <w:r>
        <w:t>EBA-FFD: Explainable, Balanced and Adaptive Federated Fraud Detection under Differential Privacy and Concept Drift</w:t>
      </w:r>
    </w:p>
    <w:p>
      <w:pPr>
        <w:pStyle w:val="author"/>
      </w:pPr>
      <w:r>
        <w:t>Shlok Shah, Rajvi Mahidhar and Swarnalata Bollavarapu</w:t>
      </w:r>
    </w:p>
    <w:p>
      <w:pPr>
        <w:pStyle w:val="address"/>
      </w:pPr>
      <w:r>
        <w:t>Mukesh Patel School of Technology Management &amp; Engineering, SVKM's NMIMS, Mumbai, India</w:t>
      </w:r>
    </w:p>
    <w:p>
      <w:pPr>
        <w:pStyle w:val="address"/>
      </w:pPr>
      <w:r>
        <w:rPr>
          <w:rStyle w:val="e-mail"/>
        </w:rPr>
        <w:t>shlokshah1310@gmail.com, rnmahidhar@gmail.com, Swarnalata.B@nmims.edu</w:t>
      </w:r>
    </w:p>
    <w:p>
      <w:pPr>
        <w:pStyle w:val="abstract"/>
      </w:pPr>
      <w:r>
        <w:rPr>
          <w:b/>
        </w:rPr>
        <w:t xml:space="preserve">Abstract. </w:t>
      </w:r>
      <w:r>
        <w:t>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KMeans-SMOTE/ENN balancing, differential privacy, and drift-aware adaptive aggregation. On the full-scale ULB European cardholder dataset, EBA-FFD achieves an F1-score of 0.7936 (PR-AUC 0.7261) under DP-SGD with RDP accounting (ε ≈ 3.0, δ ≤ 1×10⁻⁵; maximum realized ε = 3.014; SMOTE preprocessing and the drift signal lie outside this guarantee), compared with 0.8310 (PR-AUC 0.8563) for non-private centralized XGBoost (nominal p = 0.012) and 0.7689 (PR-AUC 0.7305) for a local-only baseline (nominal p = 0.034; neither survives multiple-comparison correction). The lower performance relative to centralized XGBoost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FedAvg, partially mitigating drift-induced degradation (three seeds, high variance). Overall, EBA-FFD suggests that privacy-preserving federated training can maintain effective fraud detection while addressing class imbalance and mitigating injected label-flip drift on one client.</w:t>
      </w:r>
    </w:p>
    <w:p>
      <w:pPr>
        <w:pStyle w:val="keywords"/>
      </w:pPr>
      <w:r>
        <w:rPr>
          <w:b/>
        </w:rPr>
        <w:t xml:space="preserve">Keywords: </w:t>
      </w:r>
      <w:r>
        <w:t>federated learning; differential privacy; concept drift; fraud detection; class imbalance; adaptive aggregation; non-IID data</w:t>
      </w:r>
    </w:p>
    <w:p>
      <w:pPr>
        <w:pStyle w:val="heading1"/>
        <w:numPr>
          <w:numId w:val="0"/>
        </w:numPr>
      </w:pPr>
      <w:r>
        <w:t>1 Introduction</w:t>
      </w:r>
    </w:p>
    <w:p>
      <w:pPr>
        <w:pStyle w:val="p1a"/>
      </w:pPr>
      <w:r>
        <w:t>Payment-card fraud rarely stays confined to one bank, so cross-institution collaboration should help detect it. Regulations such as the General Data Protection Regulation (GDPR) [1], however, generally restrict banks from pooling raw transaction records. Federated learning (FL) [2] avoids 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pPr/>
      <w:r>
        <w:t>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w:t>
      </w:r>
    </w:p>
    <w:p>
      <w:pPr/>
      <w:r>
        <w:t>This paper's contributions are:</w:t>
      </w:r>
    </w:p>
    <w:p>
      <w:pPr/>
      <w:r>
        <w:t>1) An adaptive, trust-weighted aggregation rule, using a Page-Hinkley (PH) drift statistic on each client's training loss, that damps rather than excludes a drifting bank, evaluated in a label-flip stress test on one client.</w:t>
      </w:r>
    </w:p>
    <w:p>
      <w:pPr/>
      <w:r>
        <w:t>2) RDP-accounted, per-client differentially private stochastic gradient descent (DP-SGD), individually calibrated so banks of very different sizes reach approximately one shared privacy budget (scope of the guarantee stated in Section III).</w:t>
      </w:r>
    </w:p>
    <w:p>
      <w:pPr/>
      <w:r>
        <w:t>3) 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pPr/>
      <w:r>
        <w:t>4) A full-scale evaluation (100% data, 3 seeds, 4-32 banks), including ablations and negative results.</w:t>
      </w:r>
    </w:p>
    <w:p>
      <w:pPr/>
      <w:r>
        <w:t>Section II reviews related work. Section III describes EBA-FFD's design. Section IV details the experimental setup. Section V reports results, Section VI discusses limitations, and Section VII concludes.</w:t>
      </w:r>
    </w:p>
    <w:p>
      <w:pPr>
        <w:pStyle w:val="heading1"/>
        <w:numPr>
          <w:numId w:val="0"/>
        </w:numPr>
      </w:pPr>
      <w:r>
        <w:t>2 Related Work</w:t>
      </w:r>
    </w:p>
    <w:p>
      <w:pPr>
        <w:pStyle w:val="p1a"/>
      </w:pPr>
      <w:r>
        <w:t>Federated averaging (FedAvg) [2] trains a global model by locally updating on each client and averaging the resulting weights in proportion to client dataset size. FedProx [5] adds a proximal term that restrains client drift under non-IID data, and is the aggregation-level baseline we compare against directly.</w:t>
      </w:r>
    </w:p>
    <w:p>
      <w:pPr/>
      <w:r>
        <w:t>Non-federated fraud detection has a long history: Bhattacharyya et al. [6] compare logistic regression, support vector machines, and random forests on real transaction data, establishing tree-based ensembles as strong baselines — one motivation for our XGBoost comparison (Section IV.C). Within federated fraud detection specifically, Yang et al. [7] propose FFD, evaluated on large-scale real-world transaction data but without formal per-client DP accounting or explicit drift handling. Aljunaid et al. [8] combine FL with explainable-AI techniques for financial fraud detection; neither work validates a drift-robustness mechanism with an injected-drift evaluation harness, which is a central contribution here.</w:t>
      </w:r>
    </w:p>
    <w:p>
      <w:pPr/>
      <w:r>
        <w:t>Differential privacy for deep learning is most commonly instantiated through DP-SGD [9], which clips per-sample gradients and adds calibrated Gaussian noise, with a Rényi differential privacy (RDP) [10] accountant composing the guarantee across steps. We use the Opacus library [11], which implements this mechanism for PyTorch;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pPr/>
      <w:r>
        <w:t>Class imbalance is typically addressed with synthetic oversampling: SMOTE [14] generates synthetic minority examples between existing neighbors, and KMeans-SMOTE [15] first clusters the data to avoid generating noisy synthetic points near class boundaries. We follow oversampling with Edited Nearest Neighbours (ENN) cleaning [16]. Focal Loss [17] down-weights easy examples during training; we found it net-harmful once KMeans-SMOTE/ENN already handles imbalance at full data scale (Section V).</w:t>
      </w:r>
    </w:p>
    <w:p>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pPr>
        <w:pStyle w:val="heading1"/>
        <w:numPr>
          <w:numId w:val="0"/>
        </w:numPr>
      </w:pPr>
      <w:r>
        <w:t>3 System Design</w:t>
      </w:r>
    </w:p>
    <w:p>
      <w:pPr>
        <w:pStyle w:val="p1a"/>
      </w:pPr>
      <w:r>
        <w:t>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preprocessing caveat in Section III.B); the scalar training loss used for drift detection is computed from real, un-noised local batches, and its release is not itself covered by that guarantee, a scoping we return to in Section VI.</w:t>
      </w:r>
    </w:p>
    <w:p>
      <w:pPr/>
      <w:r>
        <w:t>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n_k; the server additionally computes the trust scores that enter aggregation. The KMeans-SMOTE/ENN preprocessing,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pPr>
        <w:jc w:val="center"/>
      </w:pPr>
      <w:r>
        <w:drawing>
          <wp:inline xmlns:a="http://schemas.openxmlformats.org/drawingml/2006/main" xmlns:pic="http://schemas.openxmlformats.org/drawingml/2006/picture">
            <wp:extent cx="5394960" cy="3031189"/>
            <wp:docPr id="1" name="Picture 1"/>
            <wp:cNvGraphicFramePr>
              <a:graphicFrameLocks noChangeAspect="1"/>
            </wp:cNvGraphicFramePr>
            <a:graphic>
              <a:graphicData uri="http://schemas.openxmlformats.org/drawingml/2006/picture">
                <pic:pic>
                  <pic:nvPicPr>
                    <pic:cNvPr id="0" name="lncs_fig_23.png"/>
                    <pic:cNvPicPr/>
                  </pic:nvPicPr>
                  <pic:blipFill>
                    <a:blip r:embed="rId9"/>
                    <a:stretch>
                      <a:fillRect/>
                    </a:stretch>
                  </pic:blipFill>
                  <pic:spPr>
                    <a:xfrm>
                      <a:off x="0" y="0"/>
                      <a:ext cx="5394960" cy="3031189"/>
                    </a:xfrm>
                    <a:prstGeom prst="rect"/>
                  </pic:spPr>
                </pic:pic>
              </a:graphicData>
            </a:graphic>
          </wp:inline>
        </w:drawing>
      </w:r>
    </w:p>
    <w:p>
      <w:pPr>
        <w:pStyle w:val="figurecaption"/>
        <w:jc w:val="center"/>
      </w:pPr>
      <w:r>
        <w:t>Fig. 1. EBA-FFD system architecture: per-round federated control flow.</w:t>
      </w:r>
    </w:p>
    <w:p>
      <w:pPr>
        <w:pStyle w:val="heading2"/>
        <w:numPr>
          <w:numId w:val="0"/>
        </w:numPr>
      </w:pPr>
      <w:r>
        <w:t>3.1 Non-IID Data Partitioning</w:t>
      </w:r>
    </w:p>
    <w:p>
      <w:pPr>
        <w:pStyle w:val="p1a"/>
      </w:pPr>
      <w:r>
        <w:t>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rather than copies) fraud records from fraud-rich clients, and the global validation and test sets are split from the raw dataset before partitioning, so neither the floor nor the balancing below touches them.</w:t>
      </w:r>
    </w:p>
    <w:p>
      <w:pPr>
        <w:pStyle w:val="heading2"/>
        <w:numPr>
          <w:numId w:val="0"/>
        </w:numPr>
      </w:pPr>
      <w:r>
        <w:t>3.2 Local Class Balancing</w:t>
      </w:r>
    </w:p>
    <w:p>
      <w:pPr>
        <w:pStyle w:val="p1a"/>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
    <w:p>
      <w:pPr>
        <w:pStyle w:val="heading2"/>
        <w:numPr>
          <w:numId w:val="0"/>
        </w:numPr>
      </w:pPr>
      <w:r>
        <w:t>3.3 Right-Sized Classifier</w:t>
      </w:r>
    </w:p>
    <w:p>
      <w:pPr>
        <w:pStyle w:val="p1a"/>
      </w:pPr>
      <w:r>
        <w:t>An initial capacity sweep at matched ε = 3.0 compared a convolutional neural network (CNN)-only design against a CNN plus bidirectional long short-term memory (BiLSTM) design and found the recurrent block cost 0.12-0.15 F1, which we hypothesize is because a BiLSTM's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CNN+BiLSTM variants are retained as ablation arms (Table III). The full-scale evaluation shows the same ordering in F1, with a narrower margin (ΔF1 −0.008 for CNN-only vs the MLP default, within one standard deviation; the CNN variant scores higher on ROC-AUC and PR-AUC in Table III).</w:t>
      </w:r>
    </w:p>
    <w:p>
      <w:pPr>
        <w:pStyle w:val="heading2"/>
        <w:numPr>
          <w:numId w:val="0"/>
        </w:numPr>
      </w:pPr>
      <w:r>
        <w:t>3.4 Loss Function</w:t>
      </w:r>
    </w:p>
    <w:p>
      <w:pPr>
        <w:pStyle w:val="p1a"/>
      </w:pPr>
      <w:r>
        <w:t>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KMeans-SMOTE/ENN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XGBoost would be smaller (about 0.014), but this was not tested for significance.</w:t>
      </w:r>
    </w:p>
    <w:p>
      <w:pPr>
        <w:pStyle w:val="heading2"/>
        <w:numPr>
          <w:numId w:val="0"/>
        </w:numPr>
      </w:pPr>
      <w:r>
        <w:t>3.5 Differentially Private Local Training</w:t>
      </w:r>
    </w:p>
    <w:p>
      <w:pPr>
        <w:pStyle w:val="p1a"/>
      </w:pPr>
      <w:r>
        <w:t>Each client trains under DP-SGD via Opacus [11]: per-sample gradients are clipped to norm C = 1.0 and summed gradients are perturbed with Gaussian noise, with an RDP accountant [10] composing the realized (ε, δ) guarantee across every step and round. Mini-batches are drawn by Poisson sampling, which the RDP amplification bound requires, at sampling rate q_k over the client's post-balancing local training set. Each client's noise multiplier σₖ is individually solved for so every client reaches the same target budget (ε = 3.0, δ_k = min(1/n_k, 1×10⁻⁵)) within solver tolerance despite differing dataset sizes and step counts. Table II reports the resulting per-bank calibration.</w:t>
      </w:r>
    </w:p>
    <w:p>
      <w:pPr>
        <w:pStyle w:val="heading2"/>
        <w:numPr>
          <w:numId w:val="0"/>
        </w:numPr>
      </w:pPr>
      <w:r>
        <w:t>3.6 Drift Detection and Adaptive Aggregation</w:t>
      </w:r>
    </w:p>
    <w:p>
      <w:pPr>
        <w:pStyle w:val="p1a"/>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w:t>
      </w:r>
    </w:p>
    <w:p>
      <w:pPr/>
      <w:r>
        <w:rPr/>
        <w:t>The aggregation rule and trust score are defined precisely as follows, and summarized in Algorithm 1.</w:t>
      </w:r>
    </w:p>
    <w:p>
      <w:pPr>
        <w:pStyle w:val="equation"/>
      </w:pPr>
      <w:r>
        <w:rPr/>
        <w:tab/>
        <w:t>w_{t+1} = Σ_{k=1}^{K} [n_k·τ_k / Σ_j n_j·τ_j] · w_{t+1}^{(k)}</w:t>
        <w:tab/>
        <w:t>(1)</w:t>
      </w:r>
    </w:p>
    <w:p>
      <w:pPr>
        <w:pStyle w:val="equation"/>
      </w:pPr>
      <w:r>
        <w:rPr/>
        <w:tab/>
        <w:t>τ_k = clip(exp(−β · severity_k), τ_min, 1),   severity_k = PH_k / λ</w:t>
        <w:tab/>
        <w:t>(2)</w:t>
      </w:r>
    </w:p>
    <w:p>
      <w:pPr>
        <w:pStyle w:val="tablecaption"/>
      </w:pPr>
      <w:r>
        <w:rPr>
          <w:b/>
        </w:rPr>
        <w:t>Algorithm 1. EBA-FFD Adaptive Aggregation.</w:t>
      </w:r>
    </w:p>
    <w:p>
      <w:pPr>
        <w:spacing w:after="0"/>
        <w:ind w:left="360"/>
      </w:pPr>
      <w:r>
        <w:t>1:  for each round t = 1, ..., T do</w:t>
      </w:r>
    </w:p>
    <w:p>
      <w:pPr>
        <w:spacing w:after="0"/>
        <w:ind w:left="720"/>
      </w:pPr>
      <w:r>
        <w:t>2:      Server broadcasts global weights w_t to all clients</w:t>
      </w:r>
    </w:p>
    <w:p>
      <w:pPr>
        <w:spacing w:after="0"/>
        <w:ind w:left="720"/>
      </w:pPr>
      <w:r>
        <w:t>3:      for each client k = 1, ..., K in parallel do</w:t>
      </w:r>
    </w:p>
    <w:p>
      <w:pPr>
        <w:spacing w:after="0"/>
        <w:ind w:left="1080"/>
      </w:pPr>
      <w:r>
        <w:t>4:          Client k runs local DP-SGD training, returning updated weights w_{t+1}^{(k)} and mean local loss ℓ_k</w:t>
      </w:r>
    </w:p>
    <w:p>
      <w:pPr>
        <w:spacing w:after="0"/>
        <w:ind w:left="1080"/>
      </w:pPr>
      <w:r>
        <w:t>5:          Client k's Page-Hinkley statistic PH_k is updated from ℓ_k</w:t>
      </w:r>
    </w:p>
    <w:p>
      <w:pPr>
        <w:spacing w:after="0"/>
        <w:ind w:left="1080"/>
      </w:pPr>
      <w:r>
        <w:t>6:          severity_k ← PH_k / λ</w:t>
      </w:r>
    </w:p>
    <w:p>
      <w:pPr>
        <w:spacing w:after="0"/>
        <w:ind w:left="1080"/>
      </w:pPr>
      <w:r>
        <w:t>7:          τ_k ← clip(exp(−β · severity_k), τ_min, 1)      ⊳ trust score, Eq. (2)</w:t>
      </w:r>
    </w:p>
    <w:p>
      <w:pPr>
        <w:spacing w:after="0"/>
        <w:ind w:left="720"/>
      </w:pPr>
      <w:r>
        <w:t>8:      end for</w:t>
      </w:r>
    </w:p>
    <w:p>
      <w:pPr>
        <w:spacing w:after="0"/>
        <w:ind w:left="720"/>
      </w:pPr>
      <w:r>
        <w:t>9:      Server aggregates: w_{t+1} ← Σ_k [n_k·τ_k / Σ_j n_j·τ_j] · w_{t+1}^{(k)}      ⊳ Eq. (1)</w:t>
      </w:r>
    </w:p>
    <w:p>
      <w:pPr>
        <w:spacing w:after="0"/>
        <w:ind w:left="360"/>
      </w:pPr>
      <w:r>
        <w:t>10: end for</w:t>
      </w:r>
    </w:p>
    <w:p>
      <w:pPr>
        <w:pStyle w:val="heading2"/>
        <w:numPr>
          <w:numId w:val="0"/>
        </w:numPr>
      </w:pPr>
      <w:r>
        <w:t>3.7 Drift Injection Evaluation Harness</w:t>
      </w:r>
    </w:p>
    <w:p>
      <w:pPr>
        <w:pStyle w:val="p1a"/>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pPr>
        <w:pStyle w:val="heading1"/>
        <w:numPr>
          <w:numId w:val="0"/>
        </w:numPr>
      </w:pPr>
      <w:r>
        <w:t>4 Experimental Setup</w:t>
      </w:r>
    </w:p>
    <w:p>
      <w:pPr>
        <w:pStyle w:val="heading2"/>
        <w:numPr>
          <w:numId w:val="0"/>
        </w:numPr>
      </w:pPr>
      <w:r>
        <w:t>4.1 Dataset</w:t>
      </w:r>
    </w:p>
    <w:p>
      <w:pPr>
        <w:pStyle w:val="p1a"/>
      </w:pPr>
      <w:r>
        <w:t>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pPr>
        <w:pStyle w:val="heading2"/>
        <w:numPr>
          <w:numId w:val="0"/>
        </w:numPr>
      </w:pPr>
      <w:r>
        <w:t>4.2 Full-Scale Configuration</w:t>
      </w:r>
    </w:p>
    <w:p>
      <w:pPr>
        <w:pStyle w:val="p1a"/>
      </w:pPr>
      <w:r>
        <w:t>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q_k in Table II). Centralized XGBoost uses 300 trees (maximum depth 6, learning rate 0.1, subsample 0.8, column subsample 0.8); local-only XGBoost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pPr>
        <w:pStyle w:val="heading2"/>
        <w:numPr>
          <w:numId w:val="0"/>
        </w:numPr>
      </w:pPr>
      <w:r>
        <w:t>4.3 Baselines</w:t>
      </w:r>
    </w:p>
    <w:p>
      <w:pPr>
        <w:pStyle w:val="p1a"/>
      </w:pPr>
      <w:r>
        <w:t>EBA-FFD is compared against XGBoost (eXtreme Gradient Boosting) [25] and Logistic Regression trained centrally on pooled data, a centralized CNN, a local-only XGBoost model trained independently on each bank's data with no collaboration and averaged across banks, vanilla FedAvg under the same DP-SGD configuration, and FedProx under the same configuration. Methods with no privacy guarantee (marked † in Table I) quantify the utility cost of privacy and non-IID collaboration rather than competing directly with EBA-FFD (the local-only model additionally serves as the reference for the benefit of collaboration); FedProx at matched ε is the like-for-like federated comparison.</w:t>
      </w:r>
    </w:p>
    <w:p>
      <w:pPr>
        <w:pStyle w:val="heading2"/>
        <w:numPr>
          <w:numId w:val="0"/>
        </w:numPr>
      </w:pPr>
      <w:r>
        <w:t>4.4 Metrics and Model Selection Protocol</w:t>
      </w:r>
    </w:p>
    <w:p>
      <w:pPr>
        <w:pStyle w:val="p1a"/>
      </w:pPr>
      <w:r>
        <w:t>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pStyle w:val="heading2"/>
        <w:numPr>
          <w:numId w:val="0"/>
        </w:numPr>
      </w:pPr>
      <w:r>
        <w:t>4.5 Statistical Protocol</w:t>
      </w:r>
    </w:p>
    <w:p>
      <w:pPr>
        <w:pStyle w:val="p1a"/>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(XGBoost), 0.136 (local-only), 0.408 (logistic regression), 0.846 (FedProx),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pPr>
        <w:pStyle w:val="heading1"/>
        <w:numPr>
          <w:numId w:val="0"/>
        </w:numPr>
      </w:pPr>
      <w:r>
        <w:t>5 Results</w:t>
      </w:r>
    </w:p>
    <w:p>
      <w:pPr>
        <w:pStyle w:val="heading2"/>
        <w:numPr>
          <w:numId w:val="0"/>
        </w:numPr>
      </w:pPr>
      <w:r>
        <w:t>5.1 Performance Relative to Baselines</w:t>
      </w:r>
    </w:p>
    <w:p>
      <w:pPr>
        <w:pStyle w:val="p1a"/>
      </w:pPr>
      <w:r>
        <w:t>As shown in Table I, EBA-FFD attains F1 = 0.7936 under DP-SGD accounting (ε ≈ 3.0, δ ≤ 1×10⁻⁵). At full scale this is below centralized XGBoost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XGBoost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FedProx at matched ε was detected (p = 0.423; n = 3 cannot establish equivalence). EBA-FFD and FedAvg+DP report identical numbers in Table I, consistent with every client's trust score remaining at 1 absent injected drift, in which case the adaptive aggregation rule reduces exactly to vanilla FedAvg (Section III.F).</w:t>
      </w:r>
    </w:p>
    <w:p>
      <w:pPr>
        <w:jc w:val="center"/>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lncs_fig_54.png"/>
                    <pic:cNvPicPr/>
                  </pic:nvPicPr>
                  <pic:blipFill>
                    <a:blip r:embed="rId10"/>
                    <a:stretch>
                      <a:fillRect/>
                    </a:stretch>
                  </pic:blipFill>
                  <pic:spPr>
                    <a:xfrm>
                      <a:off x="0" y="0"/>
                      <a:ext cx="5394960" cy="2671790"/>
                    </a:xfrm>
                    <a:prstGeom prst="rect"/>
                  </pic:spPr>
                </pic:pic>
              </a:graphicData>
            </a:graphic>
          </wp:inline>
        </w:drawing>
      </w:r>
    </w:p>
    <w:p>
      <w:pPr>
        <w:pStyle w:val="figurecaption"/>
        <w:jc w:val="center"/>
      </w:pPr>
      <w:r>
        <w:t>Fig. 2. Recall, F1, and PR-AUC across methods (full scale, 3 seeds).</w:t>
      </w:r>
    </w:p>
    <w:p>
      <w:pPr>
        <w:pStyle w:val="tablecaption"/>
      </w:pPr>
      <w:r>
        <w:rPr>
          <w:b/>
        </w:rPr>
        <w:t xml:space="preserve">Table 1. </w:t>
      </w:r>
      <w:r>
        <w:t>Comparison Against Baselines.</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Method</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p (F1)</w:t>
            </w:r>
          </w:p>
        </w:tc>
      </w:tr>
      <w:tr>
        <w:tc>
          <w:tcPr>
            <w:tcW w:type="dxa" w:w="1289"/>
          </w:tcPr>
          <w:p>
            <w:pPr>
              <w:jc w:val="center"/>
            </w:pPr>
            <w:r>
              <w:rPr>
                <w:sz w:val="15"/>
              </w:rPr>
              <w:t>EBA-FFD (ours,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XGBoost (centralized)†</w:t>
            </w:r>
          </w:p>
        </w:tc>
        <w:tc>
          <w:tcPr>
            <w:tcW w:type="dxa" w:w="1289"/>
          </w:tcPr>
          <w:p>
            <w:pPr>
              <w:jc w:val="center"/>
            </w:pPr>
            <w:r>
              <w:rPr>
                <w:sz w:val="15"/>
              </w:rPr>
              <w:t>0.9148 ± 0.0177</w:t>
            </w:r>
          </w:p>
        </w:tc>
        <w:tc>
          <w:tcPr>
            <w:tcW w:type="dxa" w:w="1289"/>
          </w:tcPr>
          <w:p>
            <w:pPr>
              <w:jc w:val="center"/>
            </w:pPr>
            <w:r>
              <w:rPr>
                <w:sz w:val="15"/>
              </w:rPr>
              <w:t>0.7619 ± 0.0312</w:t>
            </w:r>
          </w:p>
        </w:tc>
        <w:tc>
          <w:tcPr>
            <w:tcW w:type="dxa" w:w="1289"/>
          </w:tcPr>
          <w:p>
            <w:pPr>
              <w:jc w:val="center"/>
            </w:pPr>
            <w:r>
              <w:rPr>
                <w:sz w:val="15"/>
              </w:rPr>
              <w:t>0.8310 ± 0.0146</w:t>
            </w:r>
          </w:p>
        </w:tc>
        <w:tc>
          <w:tcPr>
            <w:tcW w:type="dxa" w:w="1289"/>
          </w:tcPr>
          <w:p>
            <w:pPr>
              <w:jc w:val="center"/>
            </w:pPr>
            <w:r>
              <w:rPr>
                <w:sz w:val="15"/>
              </w:rPr>
              <w:t>0.9825 ± 0.0055</w:t>
            </w:r>
          </w:p>
        </w:tc>
        <w:tc>
          <w:tcPr>
            <w:tcW w:type="dxa" w:w="1289"/>
          </w:tcPr>
          <w:p>
            <w:pPr>
              <w:jc w:val="center"/>
            </w:pPr>
            <w:r>
              <w:rPr>
                <w:sz w:val="15"/>
              </w:rPr>
              <w:t>0.8563 ± 0.0250</w:t>
            </w:r>
          </w:p>
        </w:tc>
        <w:tc>
          <w:tcPr>
            <w:tcW w:type="dxa" w:w="1289"/>
          </w:tcPr>
          <w:p>
            <w:pPr>
              <w:jc w:val="center"/>
            </w:pPr>
            <w:r>
              <w:rPr>
                <w:sz w:val="15"/>
              </w:rPr>
              <w:t>0.012</w:t>
            </w:r>
          </w:p>
        </w:tc>
      </w:tr>
      <w:tr>
        <w:tc>
          <w:tcPr>
            <w:tcW w:type="dxa" w:w="1289"/>
          </w:tcPr>
          <w:p>
            <w:pPr>
              <w:jc w:val="center"/>
            </w:pPr>
            <w:r>
              <w:rPr>
                <w:sz w:val="15"/>
              </w:rPr>
              <w:t>Local-only (no collab.)†</w:t>
            </w:r>
          </w:p>
        </w:tc>
        <w:tc>
          <w:tcPr>
            <w:tcW w:type="dxa" w:w="1289"/>
          </w:tcPr>
          <w:p>
            <w:pPr>
              <w:jc w:val="center"/>
            </w:pPr>
            <w:r>
              <w:rPr>
                <w:sz w:val="15"/>
              </w:rPr>
              <w:t>0.8478 ± 0.0502</w:t>
            </w:r>
          </w:p>
        </w:tc>
        <w:tc>
          <w:tcPr>
            <w:tcW w:type="dxa" w:w="1289"/>
          </w:tcPr>
          <w:p>
            <w:pPr>
              <w:jc w:val="center"/>
            </w:pPr>
            <w:r>
              <w:rPr>
                <w:sz w:val="15"/>
              </w:rPr>
              <w:t>0.7083 ± 0.0612</w:t>
            </w:r>
          </w:p>
        </w:tc>
        <w:tc>
          <w:tcPr>
            <w:tcW w:type="dxa" w:w="1289"/>
          </w:tcPr>
          <w:p>
            <w:pPr>
              <w:jc w:val="center"/>
            </w:pPr>
            <w:r>
              <w:rPr>
                <w:sz w:val="15"/>
              </w:rPr>
              <w:t>0.7689 ± 0.0193</w:t>
            </w:r>
          </w:p>
        </w:tc>
        <w:tc>
          <w:tcPr>
            <w:tcW w:type="dxa" w:w="1289"/>
          </w:tcPr>
          <w:p>
            <w:pPr>
              <w:jc w:val="center"/>
            </w:pPr>
            <w:r>
              <w:rPr>
                <w:sz w:val="15"/>
              </w:rPr>
              <w:t>0.9678 ± 0.0093</w:t>
            </w:r>
          </w:p>
        </w:tc>
        <w:tc>
          <w:tcPr>
            <w:tcW w:type="dxa" w:w="1289"/>
          </w:tcPr>
          <w:p>
            <w:pPr>
              <w:jc w:val="center"/>
            </w:pPr>
            <w:r>
              <w:rPr>
                <w:sz w:val="15"/>
              </w:rPr>
              <w:t>0.7305 ± 0.0337</w:t>
            </w:r>
          </w:p>
        </w:tc>
        <w:tc>
          <w:tcPr>
            <w:tcW w:type="dxa" w:w="1289"/>
          </w:tcPr>
          <w:p>
            <w:pPr>
              <w:jc w:val="center"/>
            </w:pPr>
            <w:r>
              <w:rPr>
                <w:sz w:val="15"/>
              </w:rPr>
              <w:t>0.034</w:t>
            </w:r>
          </w:p>
        </w:tc>
      </w:tr>
      <w:tr>
        <w:tc>
          <w:tcPr>
            <w:tcW w:type="dxa" w:w="1289"/>
          </w:tcPr>
          <w:p>
            <w:pPr>
              <w:jc w:val="center"/>
            </w:pPr>
            <w:r>
              <w:rPr>
                <w:sz w:val="15"/>
              </w:rPr>
              <w:t>Logistic Regression†</w:t>
            </w:r>
          </w:p>
        </w:tc>
        <w:tc>
          <w:tcPr>
            <w:tcW w:type="dxa" w:w="1289"/>
          </w:tcPr>
          <w:p>
            <w:pPr>
              <w:jc w:val="center"/>
            </w:pPr>
            <w:r>
              <w:rPr>
                <w:sz w:val="15"/>
              </w:rPr>
              <w:t>0.8437 ± 0.0501</w:t>
            </w:r>
          </w:p>
        </w:tc>
        <w:tc>
          <w:tcPr>
            <w:tcW w:type="dxa" w:w="1289"/>
          </w:tcPr>
          <w:p>
            <w:pPr>
              <w:jc w:val="center"/>
            </w:pPr>
            <w:r>
              <w:rPr>
                <w:sz w:val="15"/>
              </w:rPr>
              <w:t>0.7109 ± 0.0752</w:t>
            </w:r>
          </w:p>
        </w:tc>
        <w:tc>
          <w:tcPr>
            <w:tcW w:type="dxa" w:w="1289"/>
          </w:tcPr>
          <w:p>
            <w:pPr>
              <w:jc w:val="center"/>
            </w:pPr>
            <w:r>
              <w:rPr>
                <w:sz w:val="15"/>
              </w:rPr>
              <w:t>0.7687 ± 0.0314</w:t>
            </w:r>
          </w:p>
        </w:tc>
        <w:tc>
          <w:tcPr>
            <w:tcW w:type="dxa" w:w="1289"/>
          </w:tcPr>
          <w:p>
            <w:pPr>
              <w:jc w:val="center"/>
            </w:pPr>
            <w:r>
              <w:rPr>
                <w:sz w:val="15"/>
              </w:rPr>
              <w:t>0.9699 ± 0.0109</w:t>
            </w:r>
          </w:p>
        </w:tc>
        <w:tc>
          <w:tcPr>
            <w:tcW w:type="dxa" w:w="1289"/>
          </w:tcPr>
          <w:p>
            <w:pPr>
              <w:jc w:val="center"/>
            </w:pPr>
            <w:r>
              <w:rPr>
                <w:sz w:val="15"/>
              </w:rPr>
              <w:t>0.7334 ± 0.0306</w:t>
            </w:r>
          </w:p>
        </w:tc>
        <w:tc>
          <w:tcPr>
            <w:tcW w:type="dxa" w:w="1289"/>
          </w:tcPr>
          <w:p>
            <w:pPr>
              <w:jc w:val="center"/>
            </w:pPr>
            <w:r>
              <w:rPr>
                <w:sz w:val="15"/>
              </w:rPr>
              <w:t>0.136</w:t>
            </w:r>
          </w:p>
        </w:tc>
      </w:tr>
      <w:tr>
        <w:tc>
          <w:tcPr>
            <w:tcW w:type="dxa" w:w="1289"/>
          </w:tcPr>
          <w:p>
            <w:pPr>
              <w:jc w:val="center"/>
            </w:pPr>
            <w:r>
              <w:rPr>
                <w:sz w:val="15"/>
              </w:rPr>
              <w:t>CNN (centralized)†</w:t>
            </w:r>
          </w:p>
        </w:tc>
        <w:tc>
          <w:tcPr>
            <w:tcW w:type="dxa" w:w="1289"/>
          </w:tcPr>
          <w:p>
            <w:pPr>
              <w:jc w:val="center"/>
            </w:pPr>
            <w:r>
              <w:rPr>
                <w:sz w:val="15"/>
              </w:rPr>
              <w:t>0.8515 ± 0.0454</w:t>
            </w:r>
          </w:p>
        </w:tc>
        <w:tc>
          <w:tcPr>
            <w:tcW w:type="dxa" w:w="1289"/>
          </w:tcPr>
          <w:p>
            <w:pPr>
              <w:jc w:val="center"/>
            </w:pPr>
            <w:r>
              <w:rPr>
                <w:sz w:val="15"/>
              </w:rPr>
              <w:t>0.7483 ± 0.0948</w:t>
            </w:r>
          </w:p>
        </w:tc>
        <w:tc>
          <w:tcPr>
            <w:tcW w:type="dxa" w:w="1289"/>
          </w:tcPr>
          <w:p>
            <w:pPr>
              <w:jc w:val="center"/>
            </w:pPr>
            <w:r>
              <w:rPr>
                <w:sz w:val="15"/>
              </w:rPr>
              <w:t>0.7922 ± 0.0369</w:t>
            </w:r>
          </w:p>
        </w:tc>
        <w:tc>
          <w:tcPr>
            <w:tcW w:type="dxa" w:w="1289"/>
          </w:tcPr>
          <w:p>
            <w:pPr>
              <w:jc w:val="center"/>
            </w:pPr>
            <w:r>
              <w:rPr>
                <w:sz w:val="15"/>
              </w:rPr>
              <w:t>0.9725 ± 0.0104</w:t>
            </w:r>
          </w:p>
        </w:tc>
        <w:tc>
          <w:tcPr>
            <w:tcW w:type="dxa" w:w="1289"/>
          </w:tcPr>
          <w:p>
            <w:pPr>
              <w:jc w:val="center"/>
            </w:pPr>
            <w:r>
              <w:rPr>
                <w:sz w:val="15"/>
              </w:rPr>
              <w:t>0.8263 ± 0.0271</w:t>
            </w:r>
          </w:p>
        </w:tc>
        <w:tc>
          <w:tcPr>
            <w:tcW w:type="dxa" w:w="1289"/>
          </w:tcPr>
          <w:p>
            <w:pPr>
              <w:jc w:val="center"/>
            </w:pPr>
            <w:r>
              <w:rPr>
                <w:sz w:val="15"/>
              </w:rPr>
              <w:t>0.930</w:t>
            </w:r>
          </w:p>
        </w:tc>
      </w:tr>
      <w:tr>
        <w:tc>
          <w:tcPr>
            <w:tcW w:type="dxa" w:w="1289"/>
          </w:tcPr>
          <w:p>
            <w:pPr>
              <w:jc w:val="center"/>
            </w:pPr>
            <w:r>
              <w:rPr>
                <w:sz w:val="15"/>
              </w:rPr>
              <w:t>FedAvg + DP</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w:t>
            </w:r>
          </w:p>
        </w:tc>
      </w:tr>
      <w:tr>
        <w:tc>
          <w:tcPr>
            <w:tcW w:type="dxa" w:w="1289"/>
          </w:tcPr>
          <w:p>
            <w:pPr>
              <w:jc w:val="center"/>
            </w:pPr>
            <w:r>
              <w:rPr>
                <w:sz w:val="15"/>
              </w:rPr>
              <w:t>FedProx + DP</w:t>
            </w:r>
          </w:p>
        </w:tc>
        <w:tc>
          <w:tcPr>
            <w:tcW w:type="dxa" w:w="1289"/>
          </w:tcPr>
          <w:p>
            <w:pPr>
              <w:jc w:val="center"/>
            </w:pPr>
            <w:r>
              <w:rPr>
                <w:sz w:val="15"/>
              </w:rPr>
              <w:t>0.8494 ± 0.0328</w:t>
            </w:r>
          </w:p>
        </w:tc>
        <w:tc>
          <w:tcPr>
            <w:tcW w:type="dxa" w:w="1289"/>
          </w:tcPr>
          <w:p>
            <w:pPr>
              <w:jc w:val="center"/>
            </w:pPr>
            <w:r>
              <w:rPr>
                <w:sz w:val="15"/>
              </w:rPr>
              <w:t>0.7551 ± 0.0468</w:t>
            </w:r>
          </w:p>
        </w:tc>
        <w:tc>
          <w:tcPr>
            <w:tcW w:type="dxa" w:w="1289"/>
          </w:tcPr>
          <w:p>
            <w:pPr>
              <w:jc w:val="center"/>
            </w:pPr>
            <w:r>
              <w:rPr>
                <w:sz w:val="15"/>
              </w:rPr>
              <w:t>0.7982 ± 0.0141</w:t>
            </w:r>
          </w:p>
        </w:tc>
        <w:tc>
          <w:tcPr>
            <w:tcW w:type="dxa" w:w="1289"/>
          </w:tcPr>
          <w:p>
            <w:pPr>
              <w:jc w:val="center"/>
            </w:pPr>
            <w:r>
              <w:rPr>
                <w:sz w:val="15"/>
              </w:rPr>
              <w:t>0.9735 ± 0.0101</w:t>
            </w:r>
          </w:p>
        </w:tc>
        <w:tc>
          <w:tcPr>
            <w:tcW w:type="dxa" w:w="1289"/>
          </w:tcPr>
          <w:p>
            <w:pPr>
              <w:jc w:val="center"/>
            </w:pPr>
            <w:r>
              <w:rPr>
                <w:sz w:val="15"/>
              </w:rPr>
              <w:t>0.7254 ± 0.0167</w:t>
            </w:r>
          </w:p>
        </w:tc>
        <w:tc>
          <w:tcPr>
            <w:tcW w:type="dxa" w:w="1289"/>
          </w:tcPr>
          <w:p>
            <w:pPr>
              <w:jc w:val="center"/>
            </w:pPr>
            <w:r>
              <w:rPr>
                <w:sz w:val="15"/>
              </w:rPr>
              <w:t>0.423</w:t>
            </w:r>
          </w:p>
        </w:tc>
      </w:tr>
    </w:tbl>
    <w:p>
      <w:pPr>
        <w:pStyle w:val="tablecaption"/>
      </w:pPr>
      <w:r>
        <w:t>† No privacy guarantee (raw data pooled or privacy ignored) — utility upper bound, not a competing system (the local-only row additionally serves as the reference for the benefit of collaboration). FedProx at matched ε is the like-for-like federated comparison. p-values are uncorrected paired t-tests on F1 (n = 3).</w:t>
      </w:r>
    </w:p>
    <w:p>
      <w:pPr/>
      <w:r>
        <w:t>Table II reports per-bank privacy calibration for seed 42, with n_k and q_k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n_k, the global model is largely determined by the largest bank; we hypothesize that this contributes to the small F1 effect of DP noise and federation size reported below, but we did not test it. Bank 1's realized ε = 3.014 slightly exceeds the 3.0 target because Opacus's noise-multiplier search satisfies the target within a small tolerance rather than exactly, not because of an accounting error; the maximum realized ε is therefore 3.014. Bank 3's δ is 4.6×10⁻⁶ because δ_k = min(1/n_k, 1×10⁻⁵).</w:t>
      </w:r>
    </w:p>
    <w:p>
      <w:pPr>
        <w:pStyle w:val="tablecaption"/>
      </w:pPr>
      <w:r>
        <w:rPr>
          <w:b/>
        </w:rPr>
        <w:t xml:space="preserve">Table 2. </w:t>
      </w:r>
      <w:r>
        <w:t>Per-Bank Differential Privacy Calibration (Seed 42).</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Bank</w:t>
            </w:r>
          </w:p>
        </w:tc>
        <w:tc>
          <w:tcPr>
            <w:tcW w:type="dxa" w:w="1289"/>
          </w:tcPr>
          <w:p>
            <w:pPr>
              <w:jc w:val="center"/>
            </w:pPr>
            <w:r>
              <w:rPr>
                <w:b/>
                <w:sz w:val="15"/>
              </w:rPr>
              <w:t>n_k</w:t>
            </w:r>
          </w:p>
        </w:tc>
        <w:tc>
          <w:tcPr>
            <w:tcW w:type="dxa" w:w="1289"/>
          </w:tcPr>
          <w:p>
            <w:pPr>
              <w:jc w:val="center"/>
            </w:pPr>
            <w:r>
              <w:rPr>
                <w:b/>
                <w:sz w:val="15"/>
              </w:rPr>
              <w:t>q_k</w:t>
            </w:r>
          </w:p>
        </w:tc>
        <w:tc>
          <w:tcPr>
            <w:tcW w:type="dxa" w:w="1289"/>
          </w:tcPr>
          <w:p>
            <w:pPr>
              <w:jc w:val="center"/>
            </w:pPr>
            <w:r>
              <w:rPr>
                <w:b/>
                <w:sz w:val="15"/>
              </w:rPr>
              <w:t>Steps</w:t>
            </w:r>
          </w:p>
        </w:tc>
        <w:tc>
          <w:tcPr>
            <w:tcW w:type="dxa" w:w="1289"/>
          </w:tcPr>
          <w:p>
            <w:pPr>
              <w:jc w:val="center"/>
            </w:pPr>
            <w:r>
              <w:rPr>
                <w:b/>
                <w:sz w:val="15"/>
              </w:rPr>
              <w:t>σ_k</w:t>
            </w:r>
          </w:p>
        </w:tc>
        <w:tc>
          <w:tcPr>
            <w:tcW w:type="dxa" w:w="1289"/>
          </w:tcPr>
          <w:p>
            <w:pPr>
              <w:jc w:val="center"/>
            </w:pPr>
            <w:r>
              <w:rPr>
                <w:b/>
                <w:sz w:val="15"/>
              </w:rPr>
              <w:t>δ_k</w:t>
            </w:r>
          </w:p>
        </w:tc>
        <w:tc>
          <w:tcPr>
            <w:tcW w:type="dxa" w:w="1289"/>
          </w:tcPr>
          <w:p>
            <w:pPr>
              <w:jc w:val="center"/>
            </w:pPr>
            <w:r>
              <w:rPr>
                <w:b/>
                <w:sz w:val="15"/>
              </w:rPr>
              <w:t>ε spent</w:t>
            </w:r>
          </w:p>
        </w:tc>
      </w:tr>
      <w:tr>
        <w:tc>
          <w:tcPr>
            <w:tcW w:type="dxa" w:w="1289"/>
          </w:tcPr>
          <w:p>
            <w:pPr>
              <w:jc w:val="center"/>
            </w:pPr>
            <w:r>
              <w:rPr>
                <w:sz w:val="15"/>
              </w:rPr>
              <w:t>0</w:t>
            </w:r>
          </w:p>
        </w:tc>
        <w:tc>
          <w:tcPr>
            <w:tcW w:type="dxa" w:w="1289"/>
          </w:tcPr>
          <w:p>
            <w:pPr>
              <w:jc w:val="center"/>
            </w:pPr>
            <w:r>
              <w:rPr>
                <w:sz w:val="15"/>
              </w:rPr>
              <w:t>2,212</w:t>
            </w:r>
          </w:p>
        </w:tc>
        <w:tc>
          <w:tcPr>
            <w:tcW w:type="dxa" w:w="1289"/>
          </w:tcPr>
          <w:p>
            <w:pPr>
              <w:jc w:val="center"/>
            </w:pPr>
            <w:r>
              <w:rPr>
                <w:sz w:val="15"/>
              </w:rPr>
              <w:t>0.11573</w:t>
            </w:r>
          </w:p>
        </w:tc>
        <w:tc>
          <w:tcPr>
            <w:tcW w:type="dxa" w:w="1289"/>
          </w:tcPr>
          <w:p>
            <w:pPr>
              <w:jc w:val="center"/>
            </w:pPr>
            <w:r>
              <w:rPr>
                <w:sz w:val="15"/>
              </w:rPr>
              <w:t>270</w:t>
            </w:r>
          </w:p>
        </w:tc>
        <w:tc>
          <w:tcPr>
            <w:tcW w:type="dxa" w:w="1289"/>
          </w:tcPr>
          <w:p>
            <w:pPr>
              <w:jc w:val="center"/>
            </w:pPr>
            <w:r>
              <w:rPr>
                <w:sz w:val="15"/>
              </w:rPr>
              <w:t>3.0273</w:t>
            </w:r>
          </w:p>
        </w:tc>
        <w:tc>
          <w:tcPr>
            <w:tcW w:type="dxa" w:w="1289"/>
          </w:tcPr>
          <w:p>
            <w:pPr>
              <w:jc w:val="center"/>
            </w:pPr>
            <w:r>
              <w:rPr>
                <w:sz w:val="15"/>
              </w:rPr>
              <w:t>1.0e-05</w:t>
            </w:r>
          </w:p>
        </w:tc>
        <w:tc>
          <w:tcPr>
            <w:tcW w:type="dxa" w:w="1289"/>
          </w:tcPr>
          <w:p>
            <w:pPr>
              <w:jc w:val="center"/>
            </w:pPr>
            <w:r>
              <w:rPr>
                <w:sz w:val="15"/>
              </w:rPr>
              <w:t>2.859</w:t>
            </w:r>
          </w:p>
        </w:tc>
      </w:tr>
      <w:tr>
        <w:tc>
          <w:tcPr>
            <w:tcW w:type="dxa" w:w="1289"/>
          </w:tcPr>
          <w:p>
            <w:pPr>
              <w:jc w:val="center"/>
            </w:pPr>
            <w:r>
              <w:rPr>
                <w:sz w:val="15"/>
              </w:rPr>
              <w:t>1</w:t>
            </w:r>
          </w:p>
        </w:tc>
        <w:tc>
          <w:tcPr>
            <w:tcW w:type="dxa" w:w="1289"/>
          </w:tcPr>
          <w:p>
            <w:pPr>
              <w:jc w:val="center"/>
            </w:pPr>
            <w:r>
              <w:rPr>
                <w:sz w:val="15"/>
              </w:rPr>
              <w:t>23,789</w:t>
            </w:r>
          </w:p>
        </w:tc>
        <w:tc>
          <w:tcPr>
            <w:tcW w:type="dxa" w:w="1289"/>
          </w:tcPr>
          <w:p>
            <w:pPr>
              <w:jc w:val="center"/>
            </w:pPr>
            <w:r>
              <w:rPr>
                <w:sz w:val="15"/>
              </w:rPr>
              <w:t>0.01076</w:t>
            </w:r>
          </w:p>
        </w:tc>
        <w:tc>
          <w:tcPr>
            <w:tcW w:type="dxa" w:w="1289"/>
          </w:tcPr>
          <w:p>
            <w:pPr>
              <w:jc w:val="center"/>
            </w:pPr>
            <w:r>
              <w:rPr>
                <w:sz w:val="15"/>
              </w:rPr>
              <w:t>2790</w:t>
            </w:r>
          </w:p>
        </w:tc>
        <w:tc>
          <w:tcPr>
            <w:tcW w:type="dxa" w:w="1289"/>
          </w:tcPr>
          <w:p>
            <w:pPr>
              <w:jc w:val="center"/>
            </w:pPr>
            <w:r>
              <w:rPr>
                <w:sz w:val="15"/>
              </w:rPr>
              <w:t>1.1133</w:t>
            </w:r>
          </w:p>
        </w:tc>
        <w:tc>
          <w:tcPr>
            <w:tcW w:type="dxa" w:w="1289"/>
          </w:tcPr>
          <w:p>
            <w:pPr>
              <w:jc w:val="center"/>
            </w:pPr>
            <w:r>
              <w:rPr>
                <w:sz w:val="15"/>
              </w:rPr>
              <w:t>1.0e-05</w:t>
            </w:r>
          </w:p>
        </w:tc>
        <w:tc>
          <w:tcPr>
            <w:tcW w:type="dxa" w:w="1289"/>
          </w:tcPr>
          <w:p>
            <w:pPr>
              <w:jc w:val="center"/>
            </w:pPr>
            <w:r>
              <w:rPr>
                <w:sz w:val="15"/>
              </w:rPr>
              <w:t>3.014</w:t>
            </w:r>
          </w:p>
        </w:tc>
      </w:tr>
      <w:tr>
        <w:tc>
          <w:tcPr>
            <w:tcW w:type="dxa" w:w="1289"/>
          </w:tcPr>
          <w:p>
            <w:pPr>
              <w:jc w:val="center"/>
            </w:pPr>
            <w:r>
              <w:rPr>
                <w:sz w:val="15"/>
              </w:rPr>
              <w:t>2</w:t>
            </w:r>
          </w:p>
        </w:tc>
        <w:tc>
          <w:tcPr>
            <w:tcW w:type="dxa" w:w="1289"/>
          </w:tcPr>
          <w:p>
            <w:pPr>
              <w:jc w:val="center"/>
            </w:pPr>
            <w:r>
              <w:rPr>
                <w:sz w:val="15"/>
              </w:rPr>
              <w:t>13,956</w:t>
            </w:r>
          </w:p>
        </w:tc>
        <w:tc>
          <w:tcPr>
            <w:tcW w:type="dxa" w:w="1289"/>
          </w:tcPr>
          <w:p>
            <w:pPr>
              <w:jc w:val="center"/>
            </w:pPr>
            <w:r>
              <w:rPr>
                <w:sz w:val="15"/>
              </w:rPr>
              <w:t>0.01834</w:t>
            </w:r>
          </w:p>
        </w:tc>
        <w:tc>
          <w:tcPr>
            <w:tcW w:type="dxa" w:w="1289"/>
          </w:tcPr>
          <w:p>
            <w:pPr>
              <w:jc w:val="center"/>
            </w:pPr>
            <w:r>
              <w:rPr>
                <w:sz w:val="15"/>
              </w:rPr>
              <w:t>1650</w:t>
            </w:r>
          </w:p>
        </w:tc>
        <w:tc>
          <w:tcPr>
            <w:tcW w:type="dxa" w:w="1289"/>
          </w:tcPr>
          <w:p>
            <w:pPr>
              <w:jc w:val="center"/>
            </w:pPr>
            <w:r>
              <w:rPr>
                <w:sz w:val="15"/>
              </w:rPr>
              <w:t>1.3477</w:t>
            </w:r>
          </w:p>
        </w:tc>
        <w:tc>
          <w:tcPr>
            <w:tcW w:type="dxa" w:w="1289"/>
          </w:tcPr>
          <w:p>
            <w:pPr>
              <w:jc w:val="center"/>
            </w:pPr>
            <w:r>
              <w:rPr>
                <w:sz w:val="15"/>
              </w:rPr>
              <w:t>1.0e-05</w:t>
            </w:r>
          </w:p>
        </w:tc>
        <w:tc>
          <w:tcPr>
            <w:tcW w:type="dxa" w:w="1289"/>
          </w:tcPr>
          <w:p>
            <w:pPr>
              <w:jc w:val="center"/>
            </w:pPr>
            <w:r>
              <w:rPr>
                <w:sz w:val="15"/>
              </w:rPr>
              <w:t>2.969</w:t>
            </w:r>
          </w:p>
        </w:tc>
      </w:tr>
      <w:tr>
        <w:tc>
          <w:tcPr>
            <w:tcW w:type="dxa" w:w="1289"/>
          </w:tcPr>
          <w:p>
            <w:pPr>
              <w:jc w:val="center"/>
            </w:pPr>
            <w:r>
              <w:rPr>
                <w:sz w:val="15"/>
              </w:rPr>
              <w:t>3</w:t>
            </w:r>
          </w:p>
        </w:tc>
        <w:tc>
          <w:tcPr>
            <w:tcW w:type="dxa" w:w="1289"/>
          </w:tcPr>
          <w:p>
            <w:pPr>
              <w:jc w:val="center"/>
            </w:pPr>
            <w:r>
              <w:rPr>
                <w:sz w:val="15"/>
              </w:rPr>
              <w:t>218,467</w:t>
            </w:r>
          </w:p>
        </w:tc>
        <w:tc>
          <w:tcPr>
            <w:tcW w:type="dxa" w:w="1289"/>
          </w:tcPr>
          <w:p>
            <w:pPr>
              <w:jc w:val="center"/>
            </w:pPr>
            <w:r>
              <w:rPr>
                <w:sz w:val="15"/>
              </w:rPr>
              <w:t>0.00117</w:t>
            </w:r>
          </w:p>
        </w:tc>
        <w:tc>
          <w:tcPr>
            <w:tcW w:type="dxa" w:w="1289"/>
          </w:tcPr>
          <w:p>
            <w:pPr>
              <w:jc w:val="center"/>
            </w:pPr>
            <w:r>
              <w:rPr>
                <w:sz w:val="15"/>
              </w:rPr>
              <w:t>25620</w:t>
            </w:r>
          </w:p>
        </w:tc>
        <w:tc>
          <w:tcPr>
            <w:tcW w:type="dxa" w:w="1289"/>
          </w:tcPr>
          <w:p>
            <w:pPr>
              <w:jc w:val="center"/>
            </w:pPr>
            <w:r>
              <w:rPr>
                <w:sz w:val="15"/>
              </w:rPr>
              <w:t>0.6934</w:t>
            </w:r>
          </w:p>
        </w:tc>
        <w:tc>
          <w:tcPr>
            <w:tcW w:type="dxa" w:w="1289"/>
          </w:tcPr>
          <w:p>
            <w:pPr>
              <w:jc w:val="center"/>
            </w:pPr>
            <w:r>
              <w:rPr>
                <w:sz w:val="15"/>
              </w:rPr>
              <w:t>4.6e-06</w:t>
            </w:r>
          </w:p>
        </w:tc>
        <w:tc>
          <w:tcPr>
            <w:tcW w:type="dxa" w:w="1289"/>
          </w:tcPr>
          <w:p>
            <w:pPr>
              <w:jc w:val="center"/>
            </w:pPr>
            <w:r>
              <w:rPr>
                <w:sz w:val="15"/>
              </w:rPr>
              <w:t>2.998</w:t>
            </w:r>
          </w:p>
        </w:tc>
      </w:tr>
    </w:tbl>
    <w:p>
      <w:pPr>
        <w:pStyle w:val="heading2"/>
        <w:numPr>
          <w:numId w:val="0"/>
        </w:numPr>
      </w:pPr>
      <w:r>
        <w:t>5.2 Component-Wise Ablation Analysis</w:t>
      </w:r>
    </w:p>
    <w:p>
      <w:pPr>
        <w:pStyle w:val="p1a"/>
      </w:pPr>
      <w:r>
        <w:t>Removing KMeans-SMOTE/ENN balancing drops F1 from 0.7936 to 0.7353 (ΔF1 −0.0583). Architecture ordering from Section III.C holds in F1, with a narrow margin (within one standard deviation). The only positive finding is the loss-function result: adding Focal Loss back costs 0.0234 F1, although removing KMeans-SMOTE/ENN balancing (−0.0583) and adding the CNN and BiLSTM blocks (−0.0612) have larger effects. The − Differential privacy row shows a small negative effect (ΔF1 −0.0112),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FedAvg in these runs, so this row duplicates the reference row. These component-level results are summarized in Table III.</w:t>
      </w:r>
    </w:p>
    <w:p>
      <w:pPr>
        <w:pStyle w:val="tablecaption"/>
      </w:pPr>
      <w:r>
        <w:rPr>
          <w:b/>
        </w:rPr>
        <w:t xml:space="preserve">Table 3. </w:t>
      </w:r>
      <w:r>
        <w:t>Component Ablation (Stationary).</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(MLP, no CNN/BiLSTM, Focal Loss)</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ref</w:t>
            </w:r>
          </w:p>
        </w:tc>
      </w:tr>
      <w:tr>
        <w:tc>
          <w:tcPr>
            <w:tcW w:type="dxa" w:w="1289"/>
          </w:tcPr>
          <w:p>
            <w:pPr>
              <w:jc w:val="center"/>
            </w:pPr>
            <w:r>
              <w:rPr>
                <w:sz w:val="15"/>
              </w:rPr>
              <w:t>+ CNN block (discarded)</w:t>
            </w:r>
          </w:p>
        </w:tc>
        <w:tc>
          <w:tcPr>
            <w:tcW w:type="dxa" w:w="1289"/>
          </w:tcPr>
          <w:p>
            <w:pPr>
              <w:jc w:val="center"/>
            </w:pPr>
            <w:r>
              <w:rPr>
                <w:sz w:val="15"/>
              </w:rPr>
              <w:t>0.8287 ± 0.0441</w:t>
            </w:r>
          </w:p>
        </w:tc>
        <w:tc>
          <w:tcPr>
            <w:tcW w:type="dxa" w:w="1289"/>
          </w:tcPr>
          <w:p>
            <w:pPr>
              <w:jc w:val="center"/>
            </w:pPr>
            <w:r>
              <w:rPr>
                <w:sz w:val="15"/>
              </w:rPr>
              <w:t>0.7483 ± 0.0460</w:t>
            </w:r>
          </w:p>
        </w:tc>
        <w:tc>
          <w:tcPr>
            <w:tcW w:type="dxa" w:w="1289"/>
          </w:tcPr>
          <w:p>
            <w:pPr>
              <w:jc w:val="center"/>
            </w:pPr>
            <w:r>
              <w:rPr>
                <w:sz w:val="15"/>
              </w:rPr>
              <w:t>0.7855 ± 0.0310</w:t>
            </w:r>
          </w:p>
        </w:tc>
        <w:tc>
          <w:tcPr>
            <w:tcW w:type="dxa" w:w="1289"/>
          </w:tcPr>
          <w:p>
            <w:pPr>
              <w:jc w:val="center"/>
            </w:pPr>
            <w:r>
              <w:rPr>
                <w:sz w:val="15"/>
              </w:rPr>
              <w:t>0.9771 ± 0.0075</w:t>
            </w:r>
          </w:p>
        </w:tc>
        <w:tc>
          <w:tcPr>
            <w:tcW w:type="dxa" w:w="1289"/>
          </w:tcPr>
          <w:p>
            <w:pPr>
              <w:jc w:val="center"/>
            </w:pPr>
            <w:r>
              <w:rPr>
                <w:sz w:val="15"/>
              </w:rPr>
              <w:t>0.7323 ± 0.0147</w:t>
            </w:r>
          </w:p>
        </w:tc>
        <w:tc>
          <w:tcPr>
            <w:tcW w:type="dxa" w:w="1289"/>
          </w:tcPr>
          <w:p>
            <w:pPr>
              <w:jc w:val="center"/>
            </w:pPr>
            <w:r>
              <w:rPr>
                <w:sz w:val="15"/>
              </w:rPr>
              <w:t>−0.0080</w:t>
            </w:r>
          </w:p>
        </w:tc>
      </w:tr>
      <w:tr>
        <w:tc>
          <w:tcPr>
            <w:tcW w:type="dxa" w:w="1289"/>
          </w:tcPr>
          <w:p>
            <w:pPr>
              <w:jc w:val="center"/>
            </w:pPr>
            <w:r>
              <w:rPr>
                <w:sz w:val="15"/>
              </w:rPr>
              <w:t>+ CNN and BiLSTM blocks (discarded)</w:t>
            </w:r>
          </w:p>
        </w:tc>
        <w:tc>
          <w:tcPr>
            <w:tcW w:type="dxa" w:w="1289"/>
          </w:tcPr>
          <w:p>
            <w:pPr>
              <w:jc w:val="center"/>
            </w:pPr>
            <w:r>
              <w:rPr>
                <w:sz w:val="15"/>
              </w:rPr>
              <w:t>0.7787 ± 0.0477</w:t>
            </w:r>
          </w:p>
        </w:tc>
        <w:tc>
          <w:tcPr>
            <w:tcW w:type="dxa" w:w="1289"/>
          </w:tcPr>
          <w:p>
            <w:pPr>
              <w:jc w:val="center"/>
            </w:pPr>
            <w:r>
              <w:rPr>
                <w:sz w:val="15"/>
              </w:rPr>
              <w:t>0.6939 ± 0.0468</w:t>
            </w:r>
          </w:p>
        </w:tc>
        <w:tc>
          <w:tcPr>
            <w:tcW w:type="dxa" w:w="1289"/>
          </w:tcPr>
          <w:p>
            <w:pPr>
              <w:jc w:val="center"/>
            </w:pPr>
            <w:r>
              <w:rPr>
                <w:sz w:val="15"/>
              </w:rPr>
              <w:t>0.7324 ± 0.0252</w:t>
            </w:r>
          </w:p>
        </w:tc>
        <w:tc>
          <w:tcPr>
            <w:tcW w:type="dxa" w:w="1289"/>
          </w:tcPr>
          <w:p>
            <w:pPr>
              <w:jc w:val="center"/>
            </w:pPr>
            <w:r>
              <w:rPr>
                <w:sz w:val="15"/>
              </w:rPr>
              <w:t>0.9513 ± 0.0113</w:t>
            </w:r>
          </w:p>
        </w:tc>
        <w:tc>
          <w:tcPr>
            <w:tcW w:type="dxa" w:w="1289"/>
          </w:tcPr>
          <w:p>
            <w:pPr>
              <w:jc w:val="center"/>
            </w:pPr>
            <w:r>
              <w:rPr>
                <w:sz w:val="15"/>
              </w:rPr>
              <w:t>0.6472 ± 0.0109</w:t>
            </w:r>
          </w:p>
        </w:tc>
        <w:tc>
          <w:tcPr>
            <w:tcW w:type="dxa" w:w="1289"/>
          </w:tcPr>
          <w:p>
            <w:pPr>
              <w:jc w:val="center"/>
            </w:pPr>
            <w:r>
              <w:rPr>
                <w:sz w:val="15"/>
              </w:rPr>
              <w:t>−0.0612</w:t>
            </w:r>
          </w:p>
        </w:tc>
      </w:tr>
      <w:tr>
        <w:tc>
          <w:tcPr>
            <w:tcW w:type="dxa" w:w="1289"/>
          </w:tcPr>
          <w:p>
            <w:pPr>
              <w:jc w:val="center"/>
            </w:pPr>
            <w:r>
              <w:rPr>
                <w:sz w:val="15"/>
              </w:rPr>
              <w:t>+ BiLSTM only (no CNN)</w:t>
            </w:r>
          </w:p>
        </w:tc>
        <w:tc>
          <w:tcPr>
            <w:tcW w:type="dxa" w:w="1289"/>
          </w:tcPr>
          <w:p>
            <w:pPr>
              <w:jc w:val="center"/>
            </w:pPr>
            <w:r>
              <w:rPr>
                <w:sz w:val="15"/>
              </w:rPr>
              <w:t>0.8193 ± 0.0538</w:t>
            </w:r>
          </w:p>
        </w:tc>
        <w:tc>
          <w:tcPr>
            <w:tcW w:type="dxa" w:w="1289"/>
          </w:tcPr>
          <w:p>
            <w:pPr>
              <w:jc w:val="center"/>
            </w:pPr>
            <w:r>
              <w:rPr>
                <w:sz w:val="15"/>
              </w:rPr>
              <w:t>0.7517 ± 0.0328</w:t>
            </w:r>
          </w:p>
        </w:tc>
        <w:tc>
          <w:tcPr>
            <w:tcW w:type="dxa" w:w="1289"/>
          </w:tcPr>
          <w:p>
            <w:pPr>
              <w:jc w:val="center"/>
            </w:pPr>
            <w:r>
              <w:rPr>
                <w:sz w:val="15"/>
              </w:rPr>
              <w:t>0.7825 ± 0.0096</w:t>
            </w:r>
          </w:p>
        </w:tc>
        <w:tc>
          <w:tcPr>
            <w:tcW w:type="dxa" w:w="1289"/>
          </w:tcPr>
          <w:p>
            <w:pPr>
              <w:jc w:val="center"/>
            </w:pPr>
            <w:r>
              <w:rPr>
                <w:sz w:val="15"/>
              </w:rPr>
              <w:t>0.9478 ± 0.0041</w:t>
            </w:r>
          </w:p>
        </w:tc>
        <w:tc>
          <w:tcPr>
            <w:tcW w:type="dxa" w:w="1289"/>
          </w:tcPr>
          <w:p>
            <w:pPr>
              <w:jc w:val="center"/>
            </w:pPr>
            <w:r>
              <w:rPr>
                <w:sz w:val="15"/>
              </w:rPr>
              <w:t>0.7022 ± 0.0724</w:t>
            </w:r>
          </w:p>
        </w:tc>
        <w:tc>
          <w:tcPr>
            <w:tcW w:type="dxa" w:w="1289"/>
          </w:tcPr>
          <w:p>
            <w:pPr>
              <w:jc w:val="center"/>
            </w:pPr>
            <w:r>
              <w:rPr>
                <w:sz w:val="15"/>
              </w:rPr>
              <w:t>−0.0111</w:t>
            </w:r>
          </w:p>
        </w:tc>
      </w:tr>
      <w:tr>
        <w:tc>
          <w:tcPr>
            <w:tcW w:type="dxa" w:w="1289"/>
          </w:tcPr>
          <w:p>
            <w:pPr>
              <w:jc w:val="center"/>
            </w:pPr>
            <w:r>
              <w:rPr>
                <w:sz w:val="15"/>
              </w:rPr>
              <w:t>− KMeans-SMOTE/ENN balancing</w:t>
            </w:r>
          </w:p>
        </w:tc>
        <w:tc>
          <w:tcPr>
            <w:tcW w:type="dxa" w:w="1289"/>
          </w:tcPr>
          <w:p>
            <w:pPr>
              <w:jc w:val="center"/>
            </w:pPr>
            <w:r>
              <w:rPr>
                <w:sz w:val="15"/>
              </w:rPr>
              <w:t>0.8329 ± 0.0443</w:t>
            </w:r>
          </w:p>
        </w:tc>
        <w:tc>
          <w:tcPr>
            <w:tcW w:type="dxa" w:w="1289"/>
          </w:tcPr>
          <w:p>
            <w:pPr>
              <w:jc w:val="center"/>
            </w:pPr>
            <w:r>
              <w:rPr>
                <w:sz w:val="15"/>
              </w:rPr>
              <w:t>0.6633 ± 0.0890</w:t>
            </w:r>
          </w:p>
        </w:tc>
        <w:tc>
          <w:tcPr>
            <w:tcW w:type="dxa" w:w="1289"/>
          </w:tcPr>
          <w:p>
            <w:pPr>
              <w:jc w:val="center"/>
            </w:pPr>
            <w:r>
              <w:rPr>
                <w:sz w:val="15"/>
              </w:rPr>
              <w:t>0.7353 ± 0.0478</w:t>
            </w:r>
          </w:p>
        </w:tc>
        <w:tc>
          <w:tcPr>
            <w:tcW w:type="dxa" w:w="1289"/>
          </w:tcPr>
          <w:p>
            <w:pPr>
              <w:jc w:val="center"/>
            </w:pPr>
            <w:r>
              <w:rPr>
                <w:sz w:val="15"/>
              </w:rPr>
              <w:t>0.8479 ± 0.0107</w:t>
            </w:r>
          </w:p>
        </w:tc>
        <w:tc>
          <w:tcPr>
            <w:tcW w:type="dxa" w:w="1289"/>
          </w:tcPr>
          <w:p>
            <w:pPr>
              <w:jc w:val="center"/>
            </w:pPr>
            <w:r>
              <w:rPr>
                <w:sz w:val="15"/>
              </w:rPr>
              <w:t>0.6343 ± 0.0490</w:t>
            </w:r>
          </w:p>
        </w:tc>
        <w:tc>
          <w:tcPr>
            <w:tcW w:type="dxa" w:w="1289"/>
          </w:tcPr>
          <w:p>
            <w:pPr>
              <w:jc w:val="center"/>
            </w:pPr>
            <w:r>
              <w:rPr>
                <w:sz w:val="15"/>
              </w:rPr>
              <w:t>−0.0583</w:t>
            </w:r>
          </w:p>
        </w:tc>
      </w:tr>
      <w:tr>
        <w:tc>
          <w:tcPr>
            <w:tcW w:type="dxa" w:w="1289"/>
          </w:tcPr>
          <w:p>
            <w:pPr>
              <w:jc w:val="center"/>
            </w:pPr>
            <w:r>
              <w:rPr>
                <w:sz w:val="15"/>
              </w:rPr>
              <w:t>− Focal Loss (plain BCE)</w:t>
            </w:r>
          </w:p>
        </w:tc>
        <w:tc>
          <w:tcPr>
            <w:tcW w:type="dxa" w:w="1289"/>
          </w:tcPr>
          <w:p>
            <w:pPr>
              <w:jc w:val="center"/>
            </w:pPr>
            <w:r>
              <w:rPr>
                <w:sz w:val="15"/>
              </w:rPr>
              <w:t>0.8492 ± 0.0418</w:t>
            </w:r>
          </w:p>
        </w:tc>
        <w:tc>
          <w:tcPr>
            <w:tcW w:type="dxa" w:w="1289"/>
          </w:tcPr>
          <w:p>
            <w:pPr>
              <w:jc w:val="center"/>
            </w:pPr>
            <w:r>
              <w:rPr>
                <w:sz w:val="15"/>
              </w:rPr>
              <w:t>0.7891 ± 0.0312</w:t>
            </w:r>
          </w:p>
        </w:tc>
        <w:tc>
          <w:tcPr>
            <w:tcW w:type="dxa" w:w="1289"/>
          </w:tcPr>
          <w:p>
            <w:pPr>
              <w:jc w:val="center"/>
            </w:pPr>
            <w:r>
              <w:rPr>
                <w:sz w:val="15"/>
              </w:rPr>
              <w:t>0.8170 ± 0.0045</w:t>
            </w:r>
          </w:p>
        </w:tc>
        <w:tc>
          <w:tcPr>
            <w:tcW w:type="dxa" w:w="1289"/>
          </w:tcPr>
          <w:p>
            <w:pPr>
              <w:jc w:val="center"/>
            </w:pPr>
            <w:r>
              <w:rPr>
                <w:sz w:val="15"/>
              </w:rPr>
              <w:t>0.9759 ± 0.0061</w:t>
            </w:r>
          </w:p>
        </w:tc>
        <w:tc>
          <w:tcPr>
            <w:tcW w:type="dxa" w:w="1289"/>
          </w:tcPr>
          <w:p>
            <w:pPr>
              <w:jc w:val="center"/>
            </w:pPr>
            <w:r>
              <w:rPr>
                <w:sz w:val="15"/>
              </w:rPr>
              <w:t>0.7398 ± 0.0167</w:t>
            </w:r>
          </w:p>
        </w:tc>
        <w:tc>
          <w:tcPr>
            <w:tcW w:type="dxa" w:w="1289"/>
          </w:tcPr>
          <w:p>
            <w:pPr>
              <w:jc w:val="center"/>
            </w:pPr>
            <w:r>
              <w:rPr>
                <w:sz w:val="15"/>
              </w:rPr>
              <w:t>+0.0234*</w:t>
            </w:r>
          </w:p>
        </w:tc>
      </w:tr>
      <w:tr>
        <w:tc>
          <w:tcPr>
            <w:tcW w:type="dxa" w:w="1289"/>
          </w:tcPr>
          <w:p>
            <w:pPr>
              <w:jc w:val="center"/>
            </w:pPr>
            <w:r>
              <w:rPr>
                <w:sz w:val="15"/>
              </w:rPr>
              <w:t>− Differential privacy†</w:t>
            </w:r>
          </w:p>
        </w:tc>
        <w:tc>
          <w:tcPr>
            <w:tcW w:type="dxa" w:w="1289"/>
          </w:tcPr>
          <w:p>
            <w:pPr>
              <w:jc w:val="center"/>
            </w:pPr>
            <w:r>
              <w:rPr>
                <w:sz w:val="15"/>
              </w:rPr>
              <w:t>0.8568 ± 0.0622</w:t>
            </w:r>
          </w:p>
        </w:tc>
        <w:tc>
          <w:tcPr>
            <w:tcW w:type="dxa" w:w="1289"/>
          </w:tcPr>
          <w:p>
            <w:pPr>
              <w:jc w:val="center"/>
            </w:pPr>
            <w:r>
              <w:rPr>
                <w:sz w:val="15"/>
              </w:rPr>
              <w:t>0.7279 ± 0.0850</w:t>
            </w:r>
          </w:p>
        </w:tc>
        <w:tc>
          <w:tcPr>
            <w:tcW w:type="dxa" w:w="1289"/>
          </w:tcPr>
          <w:p>
            <w:pPr>
              <w:jc w:val="center"/>
            </w:pPr>
            <w:r>
              <w:rPr>
                <w:sz w:val="15"/>
              </w:rPr>
              <w:t>0.7824 ± 0.0268</w:t>
            </w:r>
          </w:p>
        </w:tc>
        <w:tc>
          <w:tcPr>
            <w:tcW w:type="dxa" w:w="1289"/>
          </w:tcPr>
          <w:p>
            <w:pPr>
              <w:jc w:val="center"/>
            </w:pPr>
            <w:r>
              <w:rPr>
                <w:sz w:val="15"/>
              </w:rPr>
              <w:t>0.9661 ± 0.0113</w:t>
            </w:r>
          </w:p>
        </w:tc>
        <w:tc>
          <w:tcPr>
            <w:tcW w:type="dxa" w:w="1289"/>
          </w:tcPr>
          <w:p>
            <w:pPr>
              <w:jc w:val="center"/>
            </w:pPr>
            <w:r>
              <w:rPr>
                <w:sz w:val="15"/>
              </w:rPr>
              <w:t>0.8045 ± 0.0072</w:t>
            </w:r>
          </w:p>
        </w:tc>
        <w:tc>
          <w:tcPr>
            <w:tcW w:type="dxa" w:w="1289"/>
          </w:tcPr>
          <w:p>
            <w:pPr>
              <w:jc w:val="center"/>
            </w:pPr>
            <w:r>
              <w:rPr>
                <w:sz w:val="15"/>
              </w:rPr>
              <w:t>−0.0112</w:t>
            </w:r>
          </w:p>
        </w:tc>
      </w:tr>
      <w:tr>
        <w:tc>
          <w:tcPr>
            <w:tcW w:type="dxa" w:w="1289"/>
          </w:tcPr>
          <w:p>
            <w:pPr>
              <w:jc w:val="center"/>
            </w:pPr>
            <w:r>
              <w:rPr>
                <w:sz w:val="15"/>
              </w:rPr>
              <w:t>− Adaptive aggregation (vanilla FedAvg)</w:t>
            </w:r>
          </w:p>
        </w:tc>
        <w:tc>
          <w:tcPr>
            <w:tcW w:type="dxa" w:w="1289"/>
          </w:tcPr>
          <w:p>
            <w:pPr>
              <w:jc w:val="center"/>
            </w:pPr>
            <w:r>
              <w:rPr>
                <w:sz w:val="15"/>
              </w:rPr>
              <w:t>0.8484 ± 0.0312</w:t>
            </w:r>
          </w:p>
        </w:tc>
        <w:tc>
          <w:tcPr>
            <w:tcW w:type="dxa" w:w="1289"/>
          </w:tcPr>
          <w:p>
            <w:pPr>
              <w:jc w:val="center"/>
            </w:pPr>
            <w:r>
              <w:rPr>
                <w:sz w:val="15"/>
              </w:rPr>
              <w:t>0.7483 ± 0.0562</w:t>
            </w:r>
          </w:p>
        </w:tc>
        <w:tc>
          <w:tcPr>
            <w:tcW w:type="dxa" w:w="1289"/>
          </w:tcPr>
          <w:p>
            <w:pPr>
              <w:jc w:val="center"/>
            </w:pPr>
            <w:r>
              <w:rPr>
                <w:sz w:val="15"/>
              </w:rPr>
              <w:t>0.7936 ± 0.0190</w:t>
            </w:r>
          </w:p>
        </w:tc>
        <w:tc>
          <w:tcPr>
            <w:tcW w:type="dxa" w:w="1289"/>
          </w:tcPr>
          <w:p>
            <w:pPr>
              <w:jc w:val="center"/>
            </w:pPr>
            <w:r>
              <w:rPr>
                <w:sz w:val="15"/>
              </w:rPr>
              <w:t>0.9730 ± 0.0103</w:t>
            </w:r>
          </w:p>
        </w:tc>
        <w:tc>
          <w:tcPr>
            <w:tcW w:type="dxa" w:w="1289"/>
          </w:tcPr>
          <w:p>
            <w:pPr>
              <w:jc w:val="center"/>
            </w:pPr>
            <w:r>
              <w:rPr>
                <w:sz w:val="15"/>
              </w:rPr>
              <w:t>0.7261 ± 0.0181</w:t>
            </w:r>
          </w:p>
        </w:tc>
        <w:tc>
          <w:tcPr>
            <w:tcW w:type="dxa" w:w="1289"/>
          </w:tcPr>
          <w:p>
            <w:pPr>
              <w:jc w:val="center"/>
            </w:pPr>
            <w:r>
              <w:rPr>
                <w:sz w:val="15"/>
              </w:rPr>
              <w:t>+0.0000</w:t>
            </w:r>
          </w:p>
        </w:tc>
      </w:tr>
    </w:tbl>
    <w:p>
      <w:pPr>
        <w:pStyle w:val="tablecaption"/>
      </w:pPr>
      <w:r>
        <w:t>* Reference row uses Focal Loss (Section III.D), the loss function actually reflected in Tables I, III (reference row), IV, and V; a positive ΔF1 here means removing it in favor of plain BCE improves F1. This ablation was measured on the test set and was not used to select the system in this paper's other reported tables. † No privacy guarantee.</w:t>
      </w:r>
    </w:p>
    <w:p>
      <w:pPr>
        <w:jc w:val="center"/>
      </w:pPr>
      <w:r>
        <w:drawing>
          <wp:inline xmlns:a="http://schemas.openxmlformats.org/drawingml/2006/main" xmlns:pic="http://schemas.openxmlformats.org/drawingml/2006/picture">
            <wp:extent cx="5394960" cy="3512000"/>
            <wp:docPr id="3" name="Picture 3"/>
            <wp:cNvGraphicFramePr>
              <a:graphicFrameLocks noChangeAspect="1"/>
            </wp:cNvGraphicFramePr>
            <a:graphic>
              <a:graphicData uri="http://schemas.openxmlformats.org/drawingml/2006/picture">
                <pic:pic>
                  <pic:nvPicPr>
                    <pic:cNvPr id="0" name="lncs_fig_64.png"/>
                    <pic:cNvPicPr/>
                  </pic:nvPicPr>
                  <pic:blipFill>
                    <a:blip r:embed="rId11"/>
                    <a:stretch>
                      <a:fillRect/>
                    </a:stretch>
                  </pic:blipFill>
                  <pic:spPr>
                    <a:xfrm>
                      <a:off x="0" y="0"/>
                      <a:ext cx="5394960" cy="3512000"/>
                    </a:xfrm>
                    <a:prstGeom prst="rect"/>
                  </pic:spPr>
                </pic:pic>
              </a:graphicData>
            </a:graphic>
          </wp:inline>
        </w:drawing>
      </w:r>
    </w:p>
    <w:p>
      <w:pPr>
        <w:pStyle w:val="figurecaption"/>
        <w:jc w:val="center"/>
      </w:pPr>
      <w:r>
        <w:t>Fig. 3. ΔF1 relative to the full system for each ablated or added component (full scale; error bars are each arm's own standard deviation, not the paired difference).</w:t>
      </w:r>
    </w:p>
    <w:p>
      <w:pPr>
        <w:pStyle w:val="heading2"/>
        <w:numPr>
          <w:numId w:val="0"/>
        </w:numPr>
      </w:pPr>
      <w:r>
        <w:t>5.3 Adaptive Aggregation Under an Injected Label-Flip Stress Test</w:t>
      </w:r>
    </w:p>
    <w:p>
      <w:pPr>
        <w:pStyle w:val="p1a"/>
      </w:pPr>
      <w:r>
        <w:t>Under drift injection, vanilla FedAvg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FedAvg's F1 (0.2276 ± 0.3942) are consistent with complete collapse (F1 ≈ 0) in two of the three seeds and little degradation in the third. No significance test is reported for this comparison.</w:t>
      </w:r>
    </w:p>
    <w:p>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pPr>
        <w:pStyle w:val="tablecaption"/>
      </w:pPr>
      <w:r>
        <w:rPr>
          <w:b/>
        </w:rPr>
        <w:t xml:space="preserve">Table 4. </w:t>
      </w:r>
      <w:r>
        <w:t>Adaptive Aggregation Under Injected Label-Flip Drift.</w:t>
      </w:r>
    </w:p>
    <w:tbl>
      <w:tblPr>
        <w:tblW w:type="auto" w:w="0"/>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Pr>
                <w:b/>
                <w:sz w:val="15"/>
              </w:rPr>
              <w:t>Variant</w:t>
            </w:r>
          </w:p>
        </w:tc>
        <w:tc>
          <w:tcPr>
            <w:tcW w:type="dxa" w:w="1289"/>
          </w:tcPr>
          <w:p>
            <w:pPr>
              <w:jc w:val="center"/>
            </w:pPr>
            <w:r>
              <w:rPr>
                <w:b/>
                <w:sz w:val="15"/>
              </w:rPr>
              <w:t>Precision</w:t>
            </w:r>
          </w:p>
        </w:tc>
        <w:tc>
          <w:tcPr>
            <w:tcW w:type="dxa" w:w="1289"/>
          </w:tcPr>
          <w:p>
            <w:pPr>
              <w:jc w:val="center"/>
            </w:pPr>
            <w:r>
              <w:rPr>
                <w:b/>
                <w:sz w:val="15"/>
              </w:rPr>
              <w:t>Recall</w:t>
            </w:r>
          </w:p>
        </w:tc>
        <w:tc>
          <w:tcPr>
            <w:tcW w:type="dxa" w:w="1289"/>
          </w:tcPr>
          <w:p>
            <w:pPr>
              <w:jc w:val="center"/>
            </w:pPr>
            <w:r>
              <w:rPr>
                <w:b/>
                <w:sz w:val="15"/>
              </w:rPr>
              <w:t>F1</w:t>
            </w:r>
          </w:p>
        </w:tc>
        <w:tc>
          <w:tcPr>
            <w:tcW w:type="dxa" w:w="1289"/>
          </w:tcPr>
          <w:p>
            <w:pPr>
              <w:jc w:val="center"/>
            </w:pPr>
            <w:r>
              <w:rPr>
                <w:b/>
                <w:sz w:val="15"/>
              </w:rPr>
              <w:t>ROC-AUC</w:t>
            </w:r>
          </w:p>
        </w:tc>
        <w:tc>
          <w:tcPr>
            <w:tcW w:type="dxa" w:w="1289"/>
          </w:tcPr>
          <w:p>
            <w:pPr>
              <w:jc w:val="center"/>
            </w:pPr>
            <w:r>
              <w:rPr>
                <w:b/>
                <w:sz w:val="15"/>
              </w:rPr>
              <w:t>PR-AUC</w:t>
            </w:r>
          </w:p>
        </w:tc>
        <w:tc>
          <w:tcPr>
            <w:tcW w:type="dxa" w:w="1289"/>
          </w:tcPr>
          <w:p>
            <w:pPr>
              <w:jc w:val="center"/>
            </w:pPr>
            <w:r>
              <w:rPr>
                <w:b/>
                <w:sz w:val="15"/>
              </w:rPr>
              <w:t>ΔF1</w:t>
            </w:r>
          </w:p>
        </w:tc>
      </w:tr>
      <w:tr>
        <w:tc>
          <w:tcPr>
            <w:tcW w:type="dxa" w:w="1289"/>
          </w:tcPr>
          <w:p>
            <w:pPr>
              <w:jc w:val="center"/>
            </w:pPr>
            <w:r>
              <w:rPr>
                <w:sz w:val="15"/>
              </w:rPr>
              <w:t>Full system (adaptive aggregation)</w:t>
            </w:r>
          </w:p>
        </w:tc>
        <w:tc>
          <w:tcPr>
            <w:tcW w:type="dxa" w:w="1289"/>
          </w:tcPr>
          <w:p>
            <w:pPr>
              <w:jc w:val="center"/>
            </w:pPr>
            <w:r>
              <w:rPr>
                <w:sz w:val="15"/>
              </w:rPr>
              <w:t>0.6800 ± 0.1928</w:t>
            </w:r>
          </w:p>
        </w:tc>
        <w:tc>
          <w:tcPr>
            <w:tcW w:type="dxa" w:w="1289"/>
          </w:tcPr>
          <w:p>
            <w:pPr>
              <w:jc w:val="center"/>
            </w:pPr>
            <w:r>
              <w:rPr>
                <w:sz w:val="15"/>
              </w:rPr>
              <w:t>0.6361 ± 0.1852</w:t>
            </w:r>
          </w:p>
        </w:tc>
        <w:tc>
          <w:tcPr>
            <w:tcW w:type="dxa" w:w="1289"/>
          </w:tcPr>
          <w:p>
            <w:pPr>
              <w:jc w:val="center"/>
            </w:pPr>
            <w:r>
              <w:rPr>
                <w:sz w:val="15"/>
              </w:rPr>
              <w:t>0.6560 ± 0.1842</w:t>
            </w:r>
          </w:p>
        </w:tc>
        <w:tc>
          <w:tcPr>
            <w:tcW w:type="dxa" w:w="1289"/>
          </w:tcPr>
          <w:p>
            <w:pPr>
              <w:jc w:val="center"/>
            </w:pPr>
            <w:r>
              <w:rPr>
                <w:sz w:val="15"/>
              </w:rPr>
              <w:t>0.8678 ± 0.1356</w:t>
            </w:r>
          </w:p>
        </w:tc>
        <w:tc>
          <w:tcPr>
            <w:tcW w:type="dxa" w:w="1289"/>
          </w:tcPr>
          <w:p>
            <w:pPr>
              <w:jc w:val="center"/>
            </w:pPr>
            <w:r>
              <w:rPr>
                <w:sz w:val="15"/>
              </w:rPr>
              <w:t>0.5805 ± 0.2489</w:t>
            </w:r>
          </w:p>
        </w:tc>
        <w:tc>
          <w:tcPr>
            <w:tcW w:type="dxa" w:w="1289"/>
          </w:tcPr>
          <w:p>
            <w:pPr>
              <w:jc w:val="center"/>
            </w:pPr>
            <w:r>
              <w:rPr>
                <w:sz w:val="15"/>
              </w:rPr>
              <w:t>ref</w:t>
            </w:r>
          </w:p>
        </w:tc>
      </w:tr>
      <w:tr>
        <w:tc>
          <w:tcPr>
            <w:tcW w:type="dxa" w:w="1289"/>
          </w:tcPr>
          <w:p>
            <w:pPr>
              <w:jc w:val="center"/>
            </w:pPr>
            <w:r>
              <w:rPr>
                <w:sz w:val="15"/>
              </w:rPr>
              <w:t>− Adaptive aggregation (vanilla FedAvg)</w:t>
            </w:r>
          </w:p>
        </w:tc>
        <w:tc>
          <w:tcPr>
            <w:tcW w:type="dxa" w:w="1289"/>
          </w:tcPr>
          <w:p>
            <w:pPr>
              <w:jc w:val="center"/>
            </w:pPr>
            <w:r>
              <w:rPr>
                <w:sz w:val="15"/>
              </w:rPr>
              <w:t>0.2152 ± 0.3727</w:t>
            </w:r>
          </w:p>
        </w:tc>
        <w:tc>
          <w:tcPr>
            <w:tcW w:type="dxa" w:w="1289"/>
          </w:tcPr>
          <w:p>
            <w:pPr>
              <w:jc w:val="center"/>
            </w:pPr>
            <w:r>
              <w:rPr>
                <w:sz w:val="15"/>
              </w:rPr>
              <w:t>0.2415 ± 0.4183</w:t>
            </w:r>
          </w:p>
        </w:tc>
        <w:tc>
          <w:tcPr>
            <w:tcW w:type="dxa" w:w="1289"/>
          </w:tcPr>
          <w:p>
            <w:pPr>
              <w:jc w:val="center"/>
            </w:pPr>
            <w:r>
              <w:rPr>
                <w:sz w:val="15"/>
              </w:rPr>
              <w:t>0.2276 ± 0.3942</w:t>
            </w:r>
          </w:p>
        </w:tc>
        <w:tc>
          <w:tcPr>
            <w:tcW w:type="dxa" w:w="1289"/>
          </w:tcPr>
          <w:p>
            <w:pPr>
              <w:jc w:val="center"/>
            </w:pPr>
            <w:r>
              <w:rPr>
                <w:sz w:val="15"/>
              </w:rPr>
              <w:t>0.3792 ± 0.5297</w:t>
            </w:r>
          </w:p>
        </w:tc>
        <w:tc>
          <w:tcPr>
            <w:tcW w:type="dxa" w:w="1289"/>
          </w:tcPr>
          <w:p>
            <w:pPr>
              <w:jc w:val="center"/>
            </w:pPr>
            <w:r>
              <w:rPr>
                <w:sz w:val="15"/>
              </w:rPr>
              <w:t>0.2233 ± 0.3851</w:t>
            </w:r>
          </w:p>
        </w:tc>
        <w:tc>
          <w:tcPr>
            <w:tcW w:type="dxa" w:w="1289"/>
          </w:tcPr>
          <w:p>
            <w:pPr>
              <w:jc w:val="center"/>
            </w:pPr>
            <w:r>
              <w:rPr>
                <w:sz w:val="15"/>
              </w:rPr>
              <w:t>−0.4285</w:t>
            </w:r>
          </w:p>
        </w:tc>
      </w:tr>
    </w:tbl>
    <w:p>
      <w:pPr>
        <w:pStyle w:val="heading2"/>
        <w:numPr>
          <w:numId w:val="0"/>
        </w:numPr>
      </w:pPr>
      <w:r>
        <w:t>5.4 Scalability</w:t>
      </w:r>
    </w:p>
    <w:p>
      <w:pPr>
        <w:pStyle w:val="p1a"/>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pPr>
        <w:pStyle w:val="tablecaption"/>
      </w:pPr>
      <w:r>
        <w:rPr>
          <w:b/>
        </w:rPr>
        <w:t xml:space="preserve">Table 5. </w:t>
      </w:r>
      <w:r>
        <w:t>Scalability.</w:t>
      </w:r>
    </w:p>
    <w:tbl>
      <w:tblPr>
        <w:tblW w:type="auto" w:w="0"/>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center"/>
            </w:pPr>
            <w:r>
              <w:rPr>
                <w:b/>
                <w:sz w:val="15"/>
              </w:rPr>
              <w:t>Banks</w:t>
            </w:r>
          </w:p>
        </w:tc>
        <w:tc>
          <w:tcPr>
            <w:tcW w:type="dxa" w:w="1128"/>
          </w:tcPr>
          <w:p>
            <w:pPr>
              <w:jc w:val="center"/>
            </w:pPr>
            <w:r>
              <w:rPr>
                <w:b/>
                <w:sz w:val="15"/>
              </w:rPr>
              <w:t>Precision</w:t>
            </w:r>
          </w:p>
        </w:tc>
        <w:tc>
          <w:tcPr>
            <w:tcW w:type="dxa" w:w="1128"/>
          </w:tcPr>
          <w:p>
            <w:pPr>
              <w:jc w:val="center"/>
            </w:pPr>
            <w:r>
              <w:rPr>
                <w:b/>
                <w:sz w:val="15"/>
              </w:rPr>
              <w:t>Recall</w:t>
            </w:r>
          </w:p>
        </w:tc>
        <w:tc>
          <w:tcPr>
            <w:tcW w:type="dxa" w:w="1128"/>
          </w:tcPr>
          <w:p>
            <w:pPr>
              <w:jc w:val="center"/>
            </w:pPr>
            <w:r>
              <w:rPr>
                <w:b/>
                <w:sz w:val="15"/>
              </w:rPr>
              <w:t>F1</w:t>
            </w:r>
          </w:p>
        </w:tc>
        <w:tc>
          <w:tcPr>
            <w:tcW w:type="dxa" w:w="1128"/>
          </w:tcPr>
          <w:p>
            <w:pPr>
              <w:jc w:val="center"/>
            </w:pPr>
            <w:r>
              <w:rPr>
                <w:b/>
                <w:sz w:val="15"/>
              </w:rPr>
              <w:t>ROC-AUC</w:t>
            </w:r>
          </w:p>
        </w:tc>
        <w:tc>
          <w:tcPr>
            <w:tcW w:type="dxa" w:w="1128"/>
          </w:tcPr>
          <w:p>
            <w:pPr>
              <w:jc w:val="center"/>
            </w:pPr>
            <w:r>
              <w:rPr>
                <w:b/>
                <w:sz w:val="15"/>
              </w:rPr>
              <w:t>PR-AUC</w:t>
            </w:r>
          </w:p>
        </w:tc>
        <w:tc>
          <w:tcPr>
            <w:tcW w:type="dxa" w:w="1128"/>
          </w:tcPr>
          <w:p>
            <w:pPr>
              <w:jc w:val="center"/>
            </w:pPr>
            <w:r>
              <w:rPr>
                <w:b/>
                <w:sz w:val="15"/>
              </w:rPr>
              <w:t>σ̄</w:t>
            </w:r>
          </w:p>
        </w:tc>
        <w:tc>
          <w:tcPr>
            <w:tcW w:type="dxa" w:w="1128"/>
          </w:tcPr>
          <w:p>
            <w:pPr>
              <w:jc w:val="center"/>
            </w:pPr>
            <w:r>
              <w:rPr>
                <w:b/>
                <w:sz w:val="15"/>
              </w:rPr>
              <w:t>s/round</w:t>
            </w:r>
          </w:p>
        </w:tc>
      </w:tr>
      <w:tr>
        <w:tc>
          <w:tcPr>
            <w:tcW w:type="dxa" w:w="1128"/>
          </w:tcPr>
          <w:p>
            <w:pPr>
              <w:jc w:val="center"/>
            </w:pPr>
            <w:r>
              <w:rPr>
                <w:sz w:val="15"/>
              </w:rPr>
              <w:t>4</w:t>
            </w:r>
          </w:p>
        </w:tc>
        <w:tc>
          <w:tcPr>
            <w:tcW w:type="dxa" w:w="1128"/>
          </w:tcPr>
          <w:p>
            <w:pPr>
              <w:jc w:val="center"/>
            </w:pPr>
            <w:r>
              <w:rPr>
                <w:sz w:val="15"/>
              </w:rPr>
              <w:t>0.8484 ± 0.0312</w:t>
            </w:r>
          </w:p>
        </w:tc>
        <w:tc>
          <w:tcPr>
            <w:tcW w:type="dxa" w:w="1128"/>
          </w:tcPr>
          <w:p>
            <w:pPr>
              <w:jc w:val="center"/>
            </w:pPr>
            <w:r>
              <w:rPr>
                <w:sz w:val="15"/>
              </w:rPr>
              <w:t>0.7483 ± 0.0562</w:t>
            </w:r>
          </w:p>
        </w:tc>
        <w:tc>
          <w:tcPr>
            <w:tcW w:type="dxa" w:w="1128"/>
          </w:tcPr>
          <w:p>
            <w:pPr>
              <w:jc w:val="center"/>
            </w:pPr>
            <w:r>
              <w:rPr>
                <w:sz w:val="15"/>
              </w:rPr>
              <w:t>0.7936 ± 0.0190</w:t>
            </w:r>
          </w:p>
        </w:tc>
        <w:tc>
          <w:tcPr>
            <w:tcW w:type="dxa" w:w="1128"/>
          </w:tcPr>
          <w:p>
            <w:pPr>
              <w:jc w:val="center"/>
            </w:pPr>
            <w:r>
              <w:rPr>
                <w:sz w:val="15"/>
              </w:rPr>
              <w:t>0.9730 ± 0.0103</w:t>
            </w:r>
          </w:p>
        </w:tc>
        <w:tc>
          <w:tcPr>
            <w:tcW w:type="dxa" w:w="1128"/>
          </w:tcPr>
          <w:p>
            <w:pPr>
              <w:jc w:val="center"/>
            </w:pPr>
            <w:r>
              <w:rPr>
                <w:sz w:val="15"/>
              </w:rPr>
              <w:t>0.7261 ± 0.0181</w:t>
            </w:r>
          </w:p>
        </w:tc>
        <w:tc>
          <w:tcPr>
            <w:tcW w:type="dxa" w:w="1128"/>
          </w:tcPr>
          <w:p>
            <w:pPr>
              <w:jc w:val="center"/>
            </w:pPr>
            <w:r>
              <w:rPr>
                <w:sz w:val="15"/>
              </w:rPr>
              <w:t>1.695</w:t>
            </w:r>
          </w:p>
        </w:tc>
        <w:tc>
          <w:tcPr>
            <w:tcW w:type="dxa" w:w="1128"/>
          </w:tcPr>
          <w:p>
            <w:pPr>
              <w:jc w:val="center"/>
            </w:pPr>
            <w:r>
              <w:rPr>
                <w:sz w:val="15"/>
              </w:rPr>
              <w:t>19.9</w:t>
            </w:r>
          </w:p>
        </w:tc>
      </w:tr>
      <w:tr>
        <w:tc>
          <w:tcPr>
            <w:tcW w:type="dxa" w:w="1128"/>
          </w:tcPr>
          <w:p>
            <w:pPr>
              <w:jc w:val="center"/>
            </w:pPr>
            <w:r>
              <w:rPr>
                <w:sz w:val="15"/>
              </w:rPr>
              <w:t>8</w:t>
            </w:r>
          </w:p>
        </w:tc>
        <w:tc>
          <w:tcPr>
            <w:tcW w:type="dxa" w:w="1128"/>
          </w:tcPr>
          <w:p>
            <w:pPr>
              <w:jc w:val="center"/>
            </w:pPr>
            <w:r>
              <w:rPr>
                <w:sz w:val="15"/>
              </w:rPr>
              <w:t>0.8389 ± 0.0329</w:t>
            </w:r>
          </w:p>
        </w:tc>
        <w:tc>
          <w:tcPr>
            <w:tcW w:type="dxa" w:w="1128"/>
          </w:tcPr>
          <w:p>
            <w:pPr>
              <w:jc w:val="center"/>
            </w:pPr>
            <w:r>
              <w:rPr>
                <w:sz w:val="15"/>
              </w:rPr>
              <w:t>0.6973 ± 0.0679</w:t>
            </w:r>
          </w:p>
        </w:tc>
        <w:tc>
          <w:tcPr>
            <w:tcW w:type="dxa" w:w="1128"/>
          </w:tcPr>
          <w:p>
            <w:pPr>
              <w:jc w:val="center"/>
            </w:pPr>
            <w:r>
              <w:rPr>
                <w:sz w:val="15"/>
              </w:rPr>
              <w:t>0.7596 ± 0.0321</w:t>
            </w:r>
          </w:p>
        </w:tc>
        <w:tc>
          <w:tcPr>
            <w:tcW w:type="dxa" w:w="1128"/>
          </w:tcPr>
          <w:p>
            <w:pPr>
              <w:jc w:val="center"/>
            </w:pPr>
            <w:r>
              <w:rPr>
                <w:sz w:val="15"/>
              </w:rPr>
              <w:t>0.9716 ± 0.0081</w:t>
            </w:r>
          </w:p>
        </w:tc>
        <w:tc>
          <w:tcPr>
            <w:tcW w:type="dxa" w:w="1128"/>
          </w:tcPr>
          <w:p>
            <w:pPr>
              <w:jc w:val="center"/>
            </w:pPr>
            <w:r>
              <w:rPr>
                <w:sz w:val="15"/>
              </w:rPr>
              <w:t>0.7133 ± 0.0215</w:t>
            </w:r>
          </w:p>
        </w:tc>
        <w:tc>
          <w:tcPr>
            <w:tcW w:type="dxa" w:w="1128"/>
          </w:tcPr>
          <w:p>
            <w:pPr>
              <w:jc w:val="center"/>
            </w:pPr>
            <w:r>
              <w:rPr>
                <w:sz w:val="15"/>
              </w:rPr>
              <w:t>2.459</w:t>
            </w:r>
          </w:p>
        </w:tc>
        <w:tc>
          <w:tcPr>
            <w:tcW w:type="dxa" w:w="1128"/>
          </w:tcPr>
          <w:p>
            <w:pPr>
              <w:jc w:val="center"/>
            </w:pPr>
            <w:r>
              <w:rPr>
                <w:sz w:val="15"/>
              </w:rPr>
              <w:t>15.9</w:t>
            </w:r>
          </w:p>
        </w:tc>
      </w:tr>
      <w:tr>
        <w:tc>
          <w:tcPr>
            <w:tcW w:type="dxa" w:w="1128"/>
          </w:tcPr>
          <w:p>
            <w:pPr>
              <w:jc w:val="center"/>
            </w:pPr>
            <w:r>
              <w:rPr>
                <w:sz w:val="15"/>
              </w:rPr>
              <w:t>16</w:t>
            </w:r>
          </w:p>
        </w:tc>
        <w:tc>
          <w:tcPr>
            <w:tcW w:type="dxa" w:w="1128"/>
          </w:tcPr>
          <w:p>
            <w:pPr>
              <w:jc w:val="center"/>
            </w:pPr>
            <w:r>
              <w:rPr>
                <w:sz w:val="15"/>
              </w:rPr>
              <w:t>0.8383 ± 0.0414</w:t>
            </w:r>
          </w:p>
        </w:tc>
        <w:tc>
          <w:tcPr>
            <w:tcW w:type="dxa" w:w="1128"/>
          </w:tcPr>
          <w:p>
            <w:pPr>
              <w:jc w:val="center"/>
            </w:pPr>
            <w:r>
              <w:rPr>
                <w:sz w:val="15"/>
              </w:rPr>
              <w:t>0.7313 ± 0.0386</w:t>
            </w:r>
          </w:p>
        </w:tc>
        <w:tc>
          <w:tcPr>
            <w:tcW w:type="dxa" w:w="1128"/>
          </w:tcPr>
          <w:p>
            <w:pPr>
              <w:jc w:val="center"/>
            </w:pPr>
            <w:r>
              <w:rPr>
                <w:sz w:val="15"/>
              </w:rPr>
              <w:t>0.7803 ± 0.0228</w:t>
            </w:r>
          </w:p>
        </w:tc>
        <w:tc>
          <w:tcPr>
            <w:tcW w:type="dxa" w:w="1128"/>
          </w:tcPr>
          <w:p>
            <w:pPr>
              <w:jc w:val="center"/>
            </w:pPr>
            <w:r>
              <w:rPr>
                <w:sz w:val="15"/>
              </w:rPr>
              <w:t>0.9752 ± 0.0061</w:t>
            </w:r>
          </w:p>
        </w:tc>
        <w:tc>
          <w:tcPr>
            <w:tcW w:type="dxa" w:w="1128"/>
          </w:tcPr>
          <w:p>
            <w:pPr>
              <w:jc w:val="center"/>
            </w:pPr>
            <w:r>
              <w:rPr>
                <w:sz w:val="15"/>
              </w:rPr>
              <w:t>0.7172 ± 0.0458</w:t>
            </w:r>
          </w:p>
        </w:tc>
        <w:tc>
          <w:tcPr>
            <w:tcW w:type="dxa" w:w="1128"/>
          </w:tcPr>
          <w:p>
            <w:pPr>
              <w:jc w:val="center"/>
            </w:pPr>
            <w:r>
              <w:rPr>
                <w:sz w:val="15"/>
              </w:rPr>
              <w:t>3.265</w:t>
            </w:r>
          </w:p>
        </w:tc>
        <w:tc>
          <w:tcPr>
            <w:tcW w:type="dxa" w:w="1128"/>
          </w:tcPr>
          <w:p>
            <w:pPr>
              <w:jc w:val="center"/>
            </w:pPr>
            <w:r>
              <w:rPr>
                <w:sz w:val="15"/>
              </w:rPr>
              <w:t>14.1</w:t>
            </w:r>
          </w:p>
        </w:tc>
      </w:tr>
      <w:tr>
        <w:tc>
          <w:tcPr>
            <w:tcW w:type="dxa" w:w="1128"/>
          </w:tcPr>
          <w:p>
            <w:pPr>
              <w:jc w:val="center"/>
            </w:pPr>
            <w:r>
              <w:rPr>
                <w:sz w:val="15"/>
              </w:rPr>
              <w:t>32</w:t>
            </w:r>
          </w:p>
        </w:tc>
        <w:tc>
          <w:tcPr>
            <w:tcW w:type="dxa" w:w="1128"/>
          </w:tcPr>
          <w:p>
            <w:pPr>
              <w:jc w:val="center"/>
            </w:pPr>
            <w:r>
              <w:rPr>
                <w:sz w:val="15"/>
              </w:rPr>
              <w:t>0.8451 ± 0.0286</w:t>
            </w:r>
          </w:p>
        </w:tc>
        <w:tc>
          <w:tcPr>
            <w:tcW w:type="dxa" w:w="1128"/>
          </w:tcPr>
          <w:p>
            <w:pPr>
              <w:jc w:val="center"/>
            </w:pPr>
            <w:r>
              <w:rPr>
                <w:sz w:val="15"/>
              </w:rPr>
              <w:t>0.7109 ± 0.0752</w:t>
            </w:r>
          </w:p>
        </w:tc>
        <w:tc>
          <w:tcPr>
            <w:tcW w:type="dxa" w:w="1128"/>
          </w:tcPr>
          <w:p>
            <w:pPr>
              <w:jc w:val="center"/>
            </w:pPr>
            <w:r>
              <w:rPr>
                <w:sz w:val="15"/>
              </w:rPr>
              <w:t>0.7699 ± 0.0333</w:t>
            </w:r>
          </w:p>
        </w:tc>
        <w:tc>
          <w:tcPr>
            <w:tcW w:type="dxa" w:w="1128"/>
          </w:tcPr>
          <w:p>
            <w:pPr>
              <w:jc w:val="center"/>
            </w:pPr>
            <w:r>
              <w:rPr>
                <w:sz w:val="15"/>
              </w:rPr>
              <w:t>0.9658 ± 0.0157</w:t>
            </w:r>
          </w:p>
        </w:tc>
        <w:tc>
          <w:tcPr>
            <w:tcW w:type="dxa" w:w="1128"/>
          </w:tcPr>
          <w:p>
            <w:pPr>
              <w:jc w:val="center"/>
            </w:pPr>
            <w:r>
              <w:rPr>
                <w:sz w:val="15"/>
              </w:rPr>
              <w:t>0.7114 ± 0.0333</w:t>
            </w:r>
          </w:p>
        </w:tc>
        <w:tc>
          <w:tcPr>
            <w:tcW w:type="dxa" w:w="1128"/>
          </w:tcPr>
          <w:p>
            <w:pPr>
              <w:jc w:val="center"/>
            </w:pPr>
            <w:r>
              <w:rPr>
                <w:sz w:val="15"/>
              </w:rPr>
              <w:t>3.487</w:t>
            </w:r>
          </w:p>
        </w:tc>
        <w:tc>
          <w:tcPr>
            <w:tcW w:type="dxa" w:w="1128"/>
          </w:tcPr>
          <w:p>
            <w:pPr>
              <w:jc w:val="center"/>
            </w:pPr>
            <w:r>
              <w:rPr>
                <w:sz w:val="15"/>
              </w:rPr>
              <w:t>13.0</w:t>
            </w:r>
          </w:p>
        </w:tc>
      </w:tr>
    </w:tbl>
    <w:p>
      <w:pPr>
        <w:jc w:val="center"/>
      </w:pPr>
      <w:r>
        <w:drawing>
          <wp:inline xmlns:a="http://schemas.openxmlformats.org/drawingml/2006/main" xmlns:pic="http://schemas.openxmlformats.org/drawingml/2006/picture">
            <wp:extent cx="5394960" cy="1643611"/>
            <wp:docPr id="4" name="Picture 4"/>
            <wp:cNvGraphicFramePr>
              <a:graphicFrameLocks noChangeAspect="1"/>
            </wp:cNvGraphicFramePr>
            <a:graphic>
              <a:graphicData uri="http://schemas.openxmlformats.org/drawingml/2006/picture">
                <pic:pic>
                  <pic:nvPicPr>
                    <pic:cNvPr id="0" name="lncs_fig_73.png"/>
                    <pic:cNvPicPr/>
                  </pic:nvPicPr>
                  <pic:blipFill>
                    <a:blip r:embed="rId12"/>
                    <a:stretch>
                      <a:fillRect/>
                    </a:stretch>
                  </pic:blipFill>
                  <pic:spPr>
                    <a:xfrm>
                      <a:off x="0" y="0"/>
                      <a:ext cx="5394960" cy="1643611"/>
                    </a:xfrm>
                    <a:prstGeom prst="rect"/>
                  </pic:spPr>
                </pic:pic>
              </a:graphicData>
            </a:graphic>
          </wp:inline>
        </w:drawing>
      </w:r>
    </w:p>
    <w:p>
      <w:pPr>
        <w:pStyle w:val="figurecaption"/>
        <w:jc w:val="center"/>
      </w:pPr>
      <w:r>
        <w:t>Fig. 4. Recall, F1, PR-AUC, mean DP noise, and wall-clock time per round as federation size increases (full scale, 4-32 banks).</w:t>
      </w:r>
    </w:p>
    <w:p>
      <w:pPr>
        <w:pStyle w:val="heading1"/>
        <w:numPr>
          <w:numId w:val="0"/>
        </w:numPr>
      </w:pPr>
      <w:r>
        <w:t>6 Discussion and Limitations</w:t>
      </w:r>
    </w:p>
    <w:p>
      <w:pPr>
        <w:pStyle w:val="p1a"/>
      </w:pPr>
      <w:r>
        <w:t>The most consequential findings are that the gap to centralized XGBoost is not attributable to privacy alone, that the F1 advantage over local-only training is nominal once multiple comparisons are accounted for, and that the headline results use a loss function that our own ablation found inferior.</w:t>
      </w:r>
    </w:p>
    <w:p>
      <w:pPr/>
      <w:r>
        <w:t>At full scale, adaptive aggregation outperforms vanilla FedAvg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trust_min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pPr/>
      <w:r>
        <w:t>The loss-function finding shows that the reported system is not the best-performing configuration we measured: the 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pPr/>
      <w:r>
        <w:t>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preprocessing,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FedAvg, and does not include Byzantine-robust aggregators (for example Krum, trimmed mean, or median) or a full-exclusion baseline. Clients are simulated sequentially, and communication cost is not measured.</w:t>
      </w:r>
    </w:p>
    <w:p>
      <w:pPr>
        <w:pStyle w:val="heading1"/>
        <w:numPr>
          <w:numId w:val="0"/>
        </w:numPr>
      </w:pPr>
      <w:r>
        <w:t>7 Conclusion and Future Work</w:t>
      </w:r>
    </w:p>
    <w:p>
      <w:pPr>
        <w:pStyle w:val="p1a"/>
      </w:pPr>
      <w:r>
        <w:t>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XGBoost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pPr>
        <w:pStyle w:val="heading1"/>
        <w:numPr>
          <w:numId w:val="0"/>
        </w:numPr>
      </w:pPr>
      <w:r>
        <w:t>Acknowledgment</w:t>
      </w:r>
    </w:p>
    <w:p>
      <w:pPr>
        <w:pStyle w:val="p1a"/>
      </w:pPr>
      <w:r>
        <w:t>The authors thank the institution's GPU computing facility for providing access to the NVIDIA H100 cluster (via Altair Access) used for the full-scale evaluation reported in this paper.</w:t>
      </w:r>
    </w:p>
    <w:p>
      <w:pPr>
        <w:pStyle w:val="heading1"/>
        <w:numPr>
          <w:numId w:val="0"/>
        </w:numPr>
      </w:pPr>
      <w:r>
        <w:t>Code Availability</w:t>
      </w:r>
    </w:p>
    <w:p>
      <w:pPr>
        <w:pStyle w:val="p1a"/>
      </w:pPr>
      <w:r>
        <w:t>Code and configuration for EBA-FFD, including the exact hyperparameters above, are publicly available at https://github.com/coding-shlok/EBA_FFD.</w:t>
      </w:r>
    </w:p>
    <w:p>
      <w:pPr>
        <w:pStyle w:val="heading1"/>
        <w:numPr>
          <w:numId w:val="0"/>
        </w:numPr>
      </w:pPr>
      <w:r>
        <w:t>References</w:t>
      </w:r>
    </w:p>
    <w:p>
      <w:pPr>
        <w:pStyle w:val="referenceitem"/>
      </w:pPr>
      <w:r>
        <w:t>European Parliament, Council of the European Union: Regulation (EU) 2016/679 (General Data Protection Regulation). Official Journal of the European Union L119, 1–88 (2016).</w:t>
      </w:r>
    </w:p>
    <w:p>
      <w:pPr>
        <w:pStyle w:val="referenceitem"/>
      </w:pPr>
      <w:r>
        <w:t>McMahan, B., Moore, E., Ramage, D., Hampson, S., y Arcas, B.A.: Communication-efficient learning of deep networks from decentralized data. In: Proc. 20th Int. Conf. Artificial Intelligence and Statistics (AISTATS), PMLR, vol. 54, pp. 1273–1282 (2017).</w:t>
      </w:r>
    </w:p>
    <w:p>
      <w:pPr>
        <w:pStyle w:val="referenceitem"/>
      </w:pPr>
      <w:r>
        <w:t>Zhu, H., Xu, J., Liu, S., Jin, Y.: Federated learning on non-IID data: a survey. Neurocomputing 465, 371–390 (2021). https://doi.org/10.1016/j.neucom.2021.07.098</w:t>
      </w:r>
    </w:p>
    <w:p>
      <w:pPr>
        <w:pStyle w:val="referenceitem"/>
      </w:pPr>
      <w:r>
        <w:t>Shokri, R., Stronati, M., Song, C., Shmatikov, V.: Membership inference attacks against machine learning models. In: Proc. IEEE Symposium on Security and Privacy (SP), pp. 3–18 (2017). https://doi.org/10.1109/SP.2017.41</w:t>
      </w:r>
    </w:p>
    <w:p>
      <w:pPr>
        <w:pStyle w:val="referenceitem"/>
      </w:pPr>
      <w:r>
        <w:t>Li, T., Sahu, A.K., Zaheer, M., Sanjabi, M., Talwalkar, A., Smith, V.: Federated optimization in heterogeneous networks. In: Proc. Machine Learning and Systems (MLSys), vol. 2, pp. 429–450 (2020).</w:t>
      </w:r>
    </w:p>
    <w:p>
      <w:pPr>
        <w:pStyle w:val="referenceitem"/>
      </w:pPr>
      <w:r>
        <w:t>Bhattacharyya, S., Jha, S., Tharakunnel, K., Westland, J.C.: Data mining for credit card fraud: a comparative study. Decision Support Systems 50(3), 602–613 (2011). https://doi.org/10.1016/j.dss.2010.08.008</w:t>
      </w:r>
    </w:p>
    <w:p>
      <w:pPr>
        <w:pStyle w:val="referenceitem"/>
      </w:pPr>
      <w:r>
        <w:t>Yang, W., Zhang, Y., Ye, K., Li, L., Xu, C.Z.: FFD: a federated learning based method for credit card fraud detection. In: Proc. IEEE International Congress on Big Data (BigData) (2019).</w:t>
      </w:r>
    </w:p>
    <w:p>
      <w:pPr>
        <w:pStyle w:val="referenceitem"/>
      </w:pPr>
      <w:r>
        <w:t>Aljunaid, S.K., Almheiri, S.J., Dawood, H., Khan, M.A.: Secure and transparent banking: explainable AI-driven federated learning model for financial fraud detection. Journal of Risk and Financial Management 18(4), 179 (2025). https://doi.org/10.3390/jrfm18040179</w:t>
      </w:r>
    </w:p>
    <w:p>
      <w:pPr>
        <w:pStyle w:val="referenceitem"/>
      </w:pPr>
      <w:r>
        <w:t>Abadi, M., et al.: Deep learning with differential privacy. In: Proc. ACM SIGSAC Conference on Computer and Communications Security (CCS), pp. 308–318 (2016).</w:t>
      </w:r>
    </w:p>
    <w:p>
      <w:pPr>
        <w:pStyle w:val="referenceitem"/>
      </w:pPr>
      <w:r>
        <w:t>Mironov, I.: Rényi differential privacy. In: Proc. IEEE Computer Security Foundations Symposium (CSF), pp. 263–275 (2017).</w:t>
      </w:r>
    </w:p>
    <w:p>
      <w:pPr>
        <w:pStyle w:val="referenceitem"/>
      </w:pPr>
      <w:r>
        <w:t>Yousefpour, A., et al.: Opacus: user-friendly differential privacy library in PyTorch. arXiv preprint (2021). https://arxiv.org/abs/2109.12298</w:t>
      </w:r>
    </w:p>
    <w:p>
      <w:pPr>
        <w:pStyle w:val="referenceitem"/>
      </w:pPr>
      <w:r>
        <w:t>McMahan, H.B., Ramage, D., Talwar, K., Zhang, L.: Learning differentially private recurrent language models. In: Proc. International Conference on Learning Representations (ICLR) (2018).</w:t>
      </w:r>
    </w:p>
    <w:p>
      <w:pPr>
        <w:pStyle w:val="referenceitem"/>
      </w:pPr>
      <w:r>
        <w:t>Bonawitz, K., et al.: Practical secure aggregation for privacy-preserving machine learning. In: Proc. ACM SIGSAC Conference on Computer and Communications Security (CCS), pp. 1175–1191 (2017).</w:t>
      </w:r>
    </w:p>
    <w:p>
      <w:pPr>
        <w:pStyle w:val="referenceitem"/>
      </w:pPr>
      <w:r>
        <w:t>Chawla, N.V., Bowyer, K.W., Hall, L.O., Kegelmeyer, W.P.: SMOTE: synthetic minority over-sampling technique. Journal of Artificial Intelligence Research 16(1), 321–357 (2002). https://doi.org/10.1613/jair.953</w:t>
      </w:r>
    </w:p>
    <w:p>
      <w:pPr>
        <w:pStyle w:val="referenceitem"/>
      </w:pPr>
      <w:r>
        <w:t>Last, F., Douzas, G., Bacao, F.: Oversampling for imbalanced learning based on k-means and SMOTE. arXiv preprint (2017). https://arxiv.org/abs/1711.00837</w:t>
      </w:r>
    </w:p>
    <w:p>
      <w:pPr>
        <w:pStyle w:val="referenceitem"/>
      </w:pPr>
      <w:r>
        <w:t>Wilson, D.L.: Asymptotic properties of nearest neighbor rules using edited data. IEEE Transactions on Systems, Man, and Cybernetics 2(3), 408–421 (1972). https://doi.org/10.1109/TSMC.1972.4309137</w:t>
      </w:r>
    </w:p>
    <w:p>
      <w:pPr>
        <w:pStyle w:val="referenceitem"/>
      </w:pPr>
      <w:r>
        <w:t>Lin, T.Y., Goyal, P., Girshick, R., He, K., Dollár, P.: Focal loss for dense object detection. In: Proc. IEEE International Conference on Computer Vision (ICCV), pp. 2999–3007 (2017).</w:t>
      </w:r>
    </w:p>
    <w:p>
      <w:pPr>
        <w:pStyle w:val="referenceitem"/>
      </w:pPr>
      <w:r>
        <w:t>Gama, J., Žliobaitė, I., Bifet, A., Pechenizkiy, M., Bouchachia, A.: A survey on concept drift adaptation. ACM Computing Surveys 46(4), 1–37 (2014). https://doi.org/10.1145/2523813</w:t>
      </w:r>
    </w:p>
    <w:p>
      <w:pPr>
        <w:pStyle w:val="referenceitem"/>
      </w:pPr>
      <w:r>
        <w:t>Page, E.S.: Continuous inspection schemes. Biometrika 41(1/2), 100–115 (1954). https://doi.org/10.1093/biomet/41.1-2.100</w:t>
      </w:r>
    </w:p>
    <w:p>
      <w:pPr>
        <w:pStyle w:val="referenceitem"/>
      </w:pPr>
      <w:r>
        <w:t>Blanchard, P., El Mhamdi, E.M., Guerraoui, R., Stainer, J.: Machine learning with adversaries: Byzantine tolerant gradient descent. In: Advances in Neural Information Processing Systems 30 (NeurIPS), pp. 119–129 (2017).</w:t>
      </w:r>
    </w:p>
    <w:p>
      <w:pPr>
        <w:pStyle w:val="referenceitem"/>
      </w:pPr>
      <w:r>
        <w:t>Kairouz, P., McMahan, H.B., et al.: Advances and open problems in federated learning. Foundations and Trends in Machine Learning 14(1–2), 1–210 (2021). https://doi.org/10.1561/2200000083</w:t>
      </w:r>
    </w:p>
    <w:p>
      <w:pPr>
        <w:pStyle w:val="referenceitem"/>
      </w:pPr>
      <w:r>
        <w:t>IEEE: IEEE Guide for Architectural Framework and Application of Federated Machine Learning. IEEE Std 3652.1-2020, IEEE Standards Association (2020).</w:t>
      </w:r>
    </w:p>
    <w:p>
      <w:pPr>
        <w:pStyle w:val="referenceitem"/>
      </w:pPr>
      <w:r>
        <w:t>IEEE: IEEE Standard for Data Privacy Process. IEEE Std 7002-2022, IEEE Standards Association (2022).</w:t>
      </w:r>
    </w:p>
    <w:p>
      <w:pPr>
        <w:pStyle w:val="referenceitem"/>
      </w:pPr>
      <w:r>
        <w:t>Dal Pozzolo, A., Caelen, O., Johnson, R.A., Bontempi, G.: Calibrating probability with undersampling for unbalanced classification. In: Proc. IEEE Symposium on Computational Intelligence and Data Mining (CIDM) (2015).</w:t>
      </w:r>
    </w:p>
    <w:p>
      <w:pPr>
        <w:pStyle w:val="referenceitem"/>
      </w:pPr>
      <w:r>
        <w:t>Chen, T., Guestrin, C.: XGBoost: a scalable tree boosting system. In: Proc. 22nd ACM SIGKDD International Conference on Knowledge Discovery and Data Mining (KDD), pp. 785–794 (2016).</w:t>
      </w:r>
    </w:p>
    <w:p>
      <w:pPr>
        <w:pStyle w:val="referenceitem"/>
      </w:pPr>
      <w:r>
        <w:t>Saito, T., Rehmsmeier, M.: The precision-recall plot is more informative than the ROC plot when evaluating binary classifiers on imbalanced datasets. PLOS ONE 10(3), e0118432 (2015). https://doi.org/10.1371/journal.pone.0118432</w:t>
      </w:r>
    </w:p>
    <w:sectPr w:rsidR="0041374F" w:rsidSect="001E0595">
      <w:pgSz w:w="11906" w:h="16838"/>
      <w:pgMar w:top="1758" w:right="1440" w:bottom="136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738779A"/>
    <w:multiLevelType w:val="multilevel"/>
    <w:tmpl w:val="77EC1FB2"/>
    <w:styleLink w:val="headings"/>
    <w:lvl w:ilvl="0">
      <w:start w:val="1"/>
      <w:numFmt w:val="decimal"/>
      <w:pStyle w:val="heading1"/>
      <w:lvlText w:val="%1"/>
      <w:lvlJc w:val="left"/>
      <w:pPr>
        <w:tabs>
          <w:tab w:val="num" w:pos="567"/>
        </w:tabs>
        <w:ind w:left="567" w:hanging="567"/>
      </w:pPr>
    </w:lvl>
    <w:lvl w:ilvl="1">
      <w:start w:val="1"/>
      <w:numFmt w:val="decimal"/>
      <w:pStyle w:val="heading2"/>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hint="default"/>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nsid w:val="7D9521C8"/>
    <w:multiLevelType w:val="multilevel"/>
    <w:tmpl w:val="F35CB8F2"/>
    <w:styleLink w:val="referencelist"/>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1896"/>
        </w:tabs>
        <w:ind w:left="1896" w:hanging="360"/>
      </w:pPr>
    </w:lvl>
    <w:lvl w:ilvl="2">
      <w:start w:val="1"/>
      <w:numFmt w:val="lowerRoman"/>
      <w:lvlText w:val="%3."/>
      <w:lvlJc w:val="right"/>
      <w:pPr>
        <w:tabs>
          <w:tab w:val="num" w:pos="2616"/>
        </w:tabs>
        <w:ind w:left="2616" w:hanging="180"/>
      </w:pPr>
    </w:lvl>
    <w:lvl w:ilvl="3">
      <w:start w:val="1"/>
      <w:numFmt w:val="decimal"/>
      <w:lvlText w:val="%4."/>
      <w:lvlJc w:val="left"/>
      <w:pPr>
        <w:tabs>
          <w:tab w:val="num" w:pos="3336"/>
        </w:tabs>
        <w:ind w:left="3336" w:hanging="360"/>
      </w:pPr>
    </w:lvl>
    <w:lvl w:ilvl="4">
      <w:start w:val="1"/>
      <w:numFmt w:val="lowerLetter"/>
      <w:lvlText w:val="%5."/>
      <w:lvlJc w:val="left"/>
      <w:pPr>
        <w:tabs>
          <w:tab w:val="num" w:pos="4056"/>
        </w:tabs>
        <w:ind w:left="4056" w:hanging="360"/>
      </w:pPr>
    </w:lvl>
    <w:lvl w:ilvl="5">
      <w:start w:val="1"/>
      <w:numFmt w:val="lowerRoman"/>
      <w:lvlText w:val="%6."/>
      <w:lvlJc w:val="right"/>
      <w:pPr>
        <w:tabs>
          <w:tab w:val="num" w:pos="4776"/>
        </w:tabs>
        <w:ind w:left="4776" w:hanging="180"/>
      </w:pPr>
    </w:lvl>
    <w:lvl w:ilvl="6">
      <w:start w:val="1"/>
      <w:numFmt w:val="decimal"/>
      <w:lvlText w:val="%7."/>
      <w:lvlJc w:val="left"/>
      <w:pPr>
        <w:tabs>
          <w:tab w:val="num" w:pos="5496"/>
        </w:tabs>
        <w:ind w:left="5496" w:hanging="360"/>
      </w:pPr>
    </w:lvl>
    <w:lvl w:ilvl="7">
      <w:start w:val="1"/>
      <w:numFmt w:val="lowerLetter"/>
      <w:lvlText w:val="%8."/>
      <w:lvlJc w:val="left"/>
      <w:pPr>
        <w:tabs>
          <w:tab w:val="num" w:pos="6216"/>
        </w:tabs>
        <w:ind w:left="6216" w:hanging="360"/>
      </w:pPr>
    </w:lvl>
    <w:lvl w:ilvl="8">
      <w:start w:val="1"/>
      <w:numFmt w:val="lowerRoman"/>
      <w:lvlText w:val="%9."/>
      <w:lvlJc w:val="right"/>
      <w:pPr>
        <w:tabs>
          <w:tab w:val="num" w:pos="6936"/>
        </w:tabs>
        <w:ind w:left="6936" w:hanging="18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A53"/>
    <w:rsid w:val="001E0595"/>
    <w:rsid w:val="004005D3"/>
    <w:rsid w:val="0041374F"/>
    <w:rsid w:val="00657A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3257CD-AE1D-44B3-A4BD-54403E5A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05D3"/>
    <w:pPr>
      <w:overflowPunct w:val="0"/>
      <w:autoSpaceDE w:val="0"/>
      <w:autoSpaceDN w:val="0"/>
      <w:adjustRightInd w:val="0"/>
      <w:spacing w:after="0" w:line="240" w:lineRule="atLeast"/>
      <w:ind w:firstLine="227"/>
      <w:jc w:val="both"/>
    </w:pPr>
    <w:rPr>
      <w:rFonts w:ascii="Times New Roman" w:eastAsia="Times New Roman" w:hAnsi="Times New Roman" w:cs="Times New Roman"/>
      <w:sz w:val="20"/>
      <w:szCs w:val="20"/>
      <w:lang w:val="en-US"/>
    </w:rPr>
  </w:style>
  <w:style w:type="paragraph" w:styleId="Heading3">
    <w:name w:val="heading 3"/>
    <w:basedOn w:val="Normal"/>
    <w:next w:val="Normal"/>
    <w:link w:val="Heading3Char"/>
    <w:semiHidden/>
    <w:unhideWhenUsed/>
    <w:qFormat/>
    <w:rsid w:val="004005D3"/>
    <w:pPr>
      <w:spacing w:before="360"/>
      <w:ind w:firstLine="0"/>
      <w:outlineLvl w:val="2"/>
    </w:pPr>
  </w:style>
  <w:style w:type="paragraph" w:styleId="Heading4">
    <w:name w:val="heading 4"/>
    <w:basedOn w:val="Normal"/>
    <w:next w:val="Normal"/>
    <w:link w:val="Heading4Char"/>
    <w:semiHidden/>
    <w:unhideWhenUsed/>
    <w:qFormat/>
    <w:rsid w:val="004005D3"/>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semiHidden/>
    <w:rsid w:val="004005D3"/>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semiHidden/>
    <w:rsid w:val="004005D3"/>
    <w:rPr>
      <w:rFonts w:ascii="Times New Roman" w:eastAsia="Times New Roman" w:hAnsi="Times New Roman" w:cs="Times New Roman"/>
      <w:sz w:val="20"/>
      <w:szCs w:val="20"/>
      <w:lang w:val="en-US"/>
    </w:rPr>
  </w:style>
  <w:style w:type="character" w:styleId="Hyperlink">
    <w:name w:val="Hyperlink"/>
    <w:basedOn w:val="DefaultParagraphFont"/>
    <w:semiHidden/>
    <w:unhideWhenUsed/>
    <w:rsid w:val="004005D3"/>
    <w:rPr>
      <w:strike w:val="0"/>
      <w:dstrike w:val="0"/>
      <w:color w:val="auto"/>
      <w:u w:val="none"/>
      <w:effect w:val="none"/>
    </w:rPr>
  </w:style>
  <w:style w:type="paragraph" w:customStyle="1" w:styleId="abstract">
    <w:name w:val="abstract"/>
    <w:basedOn w:val="Normal"/>
    <w:rsid w:val="004005D3"/>
    <w:pPr>
      <w:spacing w:before="600" w:after="360" w:line="220" w:lineRule="atLeast"/>
      <w:ind w:left="567" w:right="567"/>
      <w:contextualSpacing/>
    </w:pPr>
    <w:rPr>
      <w:sz w:val="18"/>
    </w:rPr>
  </w:style>
  <w:style w:type="paragraph" w:customStyle="1" w:styleId="address">
    <w:name w:val="address"/>
    <w:basedOn w:val="Normal"/>
    <w:rsid w:val="004005D3"/>
    <w:pPr>
      <w:spacing w:after="200" w:line="220" w:lineRule="atLeast"/>
      <w:ind w:firstLine="0"/>
      <w:contextualSpacing/>
      <w:jc w:val="center"/>
    </w:pPr>
    <w:rPr>
      <w:sz w:val="18"/>
    </w:rPr>
  </w:style>
  <w:style w:type="paragraph" w:customStyle="1" w:styleId="author">
    <w:name w:val="author"/>
    <w:basedOn w:val="Normal"/>
    <w:next w:val="address"/>
    <w:rsid w:val="004005D3"/>
    <w:pPr>
      <w:spacing w:after="200" w:line="220" w:lineRule="atLeast"/>
      <w:ind w:firstLine="0"/>
      <w:jc w:val="center"/>
    </w:pPr>
  </w:style>
  <w:style w:type="paragraph" w:customStyle="1" w:styleId="equation">
    <w:name w:val="equation"/>
    <w:basedOn w:val="Normal"/>
    <w:next w:val="Normal"/>
    <w:rsid w:val="004005D3"/>
    <w:pPr>
      <w:tabs>
        <w:tab w:val="center" w:pos="3289"/>
        <w:tab w:val="right" w:pos="6917"/>
      </w:tabs>
      <w:spacing w:before="160" w:after="160"/>
      <w:ind w:firstLine="0"/>
    </w:pPr>
  </w:style>
  <w:style w:type="paragraph" w:customStyle="1" w:styleId="figurecaption">
    <w:name w:val="figurecaption"/>
    <w:basedOn w:val="Normal"/>
    <w:next w:val="Normal"/>
    <w:rsid w:val="004005D3"/>
    <w:pPr>
      <w:keepLines/>
      <w:spacing w:before="120" w:after="240" w:line="220" w:lineRule="atLeast"/>
      <w:ind w:firstLine="0"/>
      <w:jc w:val="center"/>
    </w:pPr>
    <w:rPr>
      <w:sz w:val="18"/>
    </w:rPr>
  </w:style>
  <w:style w:type="paragraph" w:customStyle="1" w:styleId="p1a">
    <w:name w:val="p1a"/>
    <w:basedOn w:val="Normal"/>
    <w:next w:val="Normal"/>
    <w:rsid w:val="004005D3"/>
    <w:pPr>
      <w:ind w:firstLine="0"/>
    </w:pPr>
  </w:style>
  <w:style w:type="paragraph" w:customStyle="1" w:styleId="heading1">
    <w:name w:val="heading1"/>
    <w:basedOn w:val="Normal"/>
    <w:next w:val="p1a"/>
    <w:qFormat/>
    <w:rsid w:val="004005D3"/>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4005D3"/>
    <w:pPr>
      <w:keepNext/>
      <w:keepLines/>
      <w:numPr>
        <w:ilvl w:val="1"/>
        <w:numId w:val="1"/>
      </w:numPr>
      <w:suppressAutoHyphens/>
      <w:spacing w:before="360" w:after="160"/>
      <w:jc w:val="left"/>
      <w:outlineLvl w:val="1"/>
    </w:pPr>
    <w:rPr>
      <w:b/>
    </w:rPr>
  </w:style>
  <w:style w:type="paragraph" w:customStyle="1" w:styleId="keywords">
    <w:name w:val="keywords"/>
    <w:basedOn w:val="abstract"/>
    <w:next w:val="heading1"/>
    <w:rsid w:val="004005D3"/>
    <w:pPr>
      <w:spacing w:before="220"/>
      <w:ind w:firstLine="0"/>
      <w:contextualSpacing w:val="0"/>
      <w:jc w:val="left"/>
    </w:pPr>
  </w:style>
  <w:style w:type="paragraph" w:customStyle="1" w:styleId="referenceitem">
    <w:name w:val="referenceitem"/>
    <w:basedOn w:val="Normal"/>
    <w:rsid w:val="004005D3"/>
    <w:pPr>
      <w:numPr>
        <w:numId w:val="3"/>
      </w:numPr>
      <w:spacing w:line="220" w:lineRule="atLeast"/>
    </w:pPr>
    <w:rPr>
      <w:sz w:val="18"/>
    </w:rPr>
  </w:style>
  <w:style w:type="paragraph" w:customStyle="1" w:styleId="papertitle">
    <w:name w:val="papertitle"/>
    <w:basedOn w:val="Normal"/>
    <w:next w:val="author"/>
    <w:rsid w:val="004005D3"/>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4005D3"/>
    <w:pPr>
      <w:keepNext/>
      <w:keepLines/>
      <w:spacing w:before="240" w:after="120" w:line="220" w:lineRule="atLeast"/>
      <w:ind w:firstLine="0"/>
      <w:jc w:val="center"/>
    </w:pPr>
    <w:rPr>
      <w:sz w:val="18"/>
    </w:rPr>
  </w:style>
  <w:style w:type="character" w:customStyle="1" w:styleId="e-mail">
    <w:name w:val="e-mail"/>
    <w:basedOn w:val="DefaultParagraphFont"/>
    <w:rsid w:val="004005D3"/>
    <w:rPr>
      <w:rFonts w:ascii="Courier" w:hAnsi="Courier" w:hint="default"/>
      <w:noProof/>
    </w:rPr>
  </w:style>
  <w:style w:type="character" w:customStyle="1" w:styleId="heading30">
    <w:name w:val="heading3"/>
    <w:basedOn w:val="DefaultParagraphFont"/>
    <w:rsid w:val="004005D3"/>
    <w:rPr>
      <w:b/>
      <w:bCs w:val="0"/>
    </w:rPr>
  </w:style>
  <w:style w:type="character" w:customStyle="1" w:styleId="heading40">
    <w:name w:val="heading4"/>
    <w:basedOn w:val="DefaultParagraphFont"/>
    <w:rsid w:val="004005D3"/>
    <w:rPr>
      <w:i/>
      <w:iCs w:val="0"/>
    </w:rPr>
  </w:style>
  <w:style w:type="character" w:customStyle="1" w:styleId="ORCID">
    <w:name w:val="ORCID"/>
    <w:basedOn w:val="DefaultParagraphFont"/>
    <w:rsid w:val="004005D3"/>
    <w:rPr>
      <w:position w:val="0"/>
      <w:vertAlign w:val="superscript"/>
    </w:rPr>
  </w:style>
  <w:style w:type="numbering" w:customStyle="1" w:styleId="headings">
    <w:name w:val="headings"/>
    <w:rsid w:val="004005D3"/>
    <w:pPr>
      <w:numPr>
        <w:numId w:val="1"/>
      </w:numPr>
    </w:pPr>
  </w:style>
  <w:style w:type="numbering" w:customStyle="1" w:styleId="referencelist">
    <w:name w:val="referencelist"/>
    <w:rsid w:val="004005D3"/>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9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springer.com/lncs" TargetMode="External"/><Relationship Id="rId5" Type="http://schemas.openxmlformats.org/officeDocument/2006/relationships/chart" Target="charts/chart1.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212636984"/>
        <c:axId val="212637768"/>
      </c:lineChart>
      <c:catAx>
        <c:axId val="212636984"/>
        <c:scaling>
          <c:orientation val="minMax"/>
        </c:scaling>
        <c:delete val="0"/>
        <c:axPos val="b"/>
        <c:numFmt formatCode="General" sourceLinked="1"/>
        <c:majorTickMark val="out"/>
        <c:minorTickMark val="none"/>
        <c:tickLblPos val="nextTo"/>
        <c:crossAx val="212637768"/>
        <c:crosses val="autoZero"/>
        <c:auto val="1"/>
        <c:lblAlgn val="ctr"/>
        <c:lblOffset val="100"/>
        <c:tickLblSkip val="5"/>
        <c:noMultiLvlLbl val="0"/>
      </c:catAx>
      <c:valAx>
        <c:axId val="212637768"/>
        <c:scaling>
          <c:orientation val="minMax"/>
        </c:scaling>
        <c:delete val="0"/>
        <c:axPos val="l"/>
        <c:majorGridlines>
          <c:spPr>
            <a:ln>
              <a:noFill/>
            </a:ln>
          </c:spPr>
        </c:majorGridlines>
        <c:numFmt formatCode="General" sourceLinked="1"/>
        <c:majorTickMark val="out"/>
        <c:minorTickMark val="none"/>
        <c:tickLblPos val="nextTo"/>
        <c:crossAx val="21263698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423</Words>
  <Characters>2416</Characters>
  <Application>Microsoft Office Word</Application>
  <DocSecurity>0</DocSecurity>
  <Lines>20</Lines>
  <Paragraphs>5</Paragraphs>
  <ScaleCrop>false</ScaleCrop>
  <Company/>
  <LinksUpToDate>false</LinksUpToDate>
  <CharactersWithSpaces>2834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2024-08-16T15:55:00Z</dcterms:created>
  <dcterms:modified xsi:type="dcterms:W3CDTF">2024-08-16T15:55:00Z</dcterms:modified>
</cp:coreProperties>
</file>