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jc w:val="center"/>
      </w:pPr>
      <w:r>
        <w:rPr>
          <w:rFonts w:ascii="Times New Roman" w:cs="Times New Roman" w:eastAsia="Times New Roman" w:hAnsi="Times New Roman"/>
          <w:b/>
          <w:bCs/>
          <w:sz w:val="28"/>
          <w:szCs w:val="28"/>
        </w:rPr>
        <w:t xml:space="preserve">EBA-FFD: Adaptive Federated Fraud Detection under Differential Privacy and Concept Drift</w:t>
      </w:r>
    </w:p>
    <w:tbl>
      <w:tblPr>
        <w:tblW w:type="dxa" w:w="9720"/>
        <w:jc w:val="center"/>
        <w:tblBorders>
          <w:top w:val="none"/>
          <w:left w:val="none"/>
          <w:bottom w:val="none"/>
          <w:right w:val="none"/>
          <w:insideH w:val="none"/>
          <w:insideV w:val="none"/>
        </w:tblBorders>
      </w:tblPr>
      <w:tblGrid>
        <w:gridCol w:w="3240"/>
        <w:gridCol w:w="3240"/>
        <w:gridCol w:w="3240"/>
      </w:tblGrid>
      <w:tr>
        <w:tc>
          <w:tcPr>
            <w:tcW w:type="dxa" w:w="3240"/>
            <w:tcBorders>
              <w:top w:val="none"/>
              <w:left w:val="none"/>
              <w:bottom w:val="none"/>
              <w:right w:val="none"/>
            </w:tcBorders>
            <w:tcMar>
              <w:top w:type="dxa" w:w="60"/>
              <w:left w:type="dxa" w:w="60"/>
              <w:bottom w:type="dxa" w:w="60"/>
              <w:right w:type="dxa" w:w="60"/>
            </w:tcMar>
          </w:tcPr>
          <w:p>
            <w:pPr>
              <w:spacing w:after="40"/>
              <w:jc w:val="center"/>
            </w:pPr>
            <w:r>
              <w:rPr>
                <w:rFonts w:ascii="Times New Roman" w:cs="Times New Roman" w:eastAsia="Times New Roman" w:hAnsi="Times New Roman"/>
                <w:b/>
                <w:bCs/>
                <w:sz w:val="20"/>
                <w:szCs w:val="20"/>
              </w:rPr>
              <w:t xml:space="preserve">1st Shlok Shah</w:t>
            </w:r>
            <w:r>
              <w:br/>
            </w:r>
            <w:r>
              <w:rPr>
                <w:rFonts w:ascii="Times New Roman" w:cs="Times New Roman" w:eastAsia="Times New Roman" w:hAnsi="Times New Roman"/>
                <w:i/>
                <w:iCs/>
                <w:sz w:val="18"/>
                <w:szCs w:val="18"/>
              </w:rPr>
              <w:t xml:space="preserve">Mukesh Patel School of Technology Management &amp; Engineering, SVKM's NMIMS</w:t>
            </w:r>
            <w:r>
              <w:br/>
            </w:r>
            <w:r>
              <w:rPr>
                <w:rFonts w:ascii="Times New Roman" w:cs="Times New Roman" w:eastAsia="Times New Roman" w:hAnsi="Times New Roman"/>
                <w:sz w:val="18"/>
                <w:szCs w:val="18"/>
              </w:rPr>
              <w:t xml:space="preserve">Mumbai, India</w:t>
            </w:r>
            <w:r>
              <w:br/>
            </w:r>
            <w:r>
              <w:rPr>
                <w:rFonts w:ascii="Times New Roman" w:cs="Times New Roman" w:eastAsia="Times New Roman" w:hAnsi="Times New Roman"/>
                <w:sz w:val="18"/>
                <w:szCs w:val="18"/>
              </w:rPr>
              <w:t xml:space="preserve">shlokshah1310@gmail.com</w:t>
            </w:r>
          </w:p>
        </w:tc>
        <w:tc>
          <w:tcPr>
            <w:tcW w:type="dxa" w:w="3240"/>
            <w:tcBorders>
              <w:top w:val="none"/>
              <w:left w:val="none"/>
              <w:bottom w:val="none"/>
              <w:right w:val="none"/>
            </w:tcBorders>
            <w:tcMar>
              <w:top w:type="dxa" w:w="60"/>
              <w:left w:type="dxa" w:w="60"/>
              <w:bottom w:type="dxa" w:w="60"/>
              <w:right w:type="dxa" w:w="60"/>
            </w:tcMar>
          </w:tcPr>
          <w:p>
            <w:pPr>
              <w:spacing w:after="40"/>
              <w:jc w:val="center"/>
            </w:pPr>
            <w:r>
              <w:rPr>
                <w:rFonts w:ascii="Times New Roman" w:cs="Times New Roman" w:eastAsia="Times New Roman" w:hAnsi="Times New Roman"/>
                <w:b/>
                <w:bCs/>
                <w:sz w:val="20"/>
                <w:szCs w:val="20"/>
              </w:rPr>
              <w:t xml:space="preserve">2nd Rajvi Mahidhar</w:t>
            </w:r>
            <w:r>
              <w:br/>
            </w:r>
            <w:r>
              <w:rPr>
                <w:rFonts w:ascii="Times New Roman" w:cs="Times New Roman" w:eastAsia="Times New Roman" w:hAnsi="Times New Roman"/>
                <w:i/>
                <w:iCs/>
                <w:sz w:val="18"/>
                <w:szCs w:val="18"/>
              </w:rPr>
              <w:t xml:space="preserve">Mukesh Patel School of Technology Management &amp; Engineering, SVKM's NMIMS</w:t>
            </w:r>
            <w:r>
              <w:br/>
            </w:r>
            <w:r>
              <w:rPr>
                <w:rFonts w:ascii="Times New Roman" w:cs="Times New Roman" w:eastAsia="Times New Roman" w:hAnsi="Times New Roman"/>
                <w:sz w:val="18"/>
                <w:szCs w:val="18"/>
              </w:rPr>
              <w:t xml:space="preserve">Mumbai, India</w:t>
            </w:r>
            <w:r>
              <w:br/>
            </w:r>
            <w:r>
              <w:rPr>
                <w:rFonts w:ascii="Times New Roman" w:cs="Times New Roman" w:eastAsia="Times New Roman" w:hAnsi="Times New Roman"/>
                <w:sz w:val="18"/>
                <w:szCs w:val="18"/>
              </w:rPr>
              <w:t xml:space="preserve">rnmahidhar@gmail.com</w:t>
            </w:r>
          </w:p>
        </w:tc>
        <w:tc>
          <w:tcPr>
            <w:tcW w:type="dxa" w:w="3240"/>
            <w:tcBorders>
              <w:top w:val="none"/>
              <w:left w:val="none"/>
              <w:bottom w:val="none"/>
              <w:right w:val="none"/>
            </w:tcBorders>
            <w:tcMar>
              <w:top w:type="dxa" w:w="60"/>
              <w:left w:type="dxa" w:w="60"/>
              <w:bottom w:type="dxa" w:w="60"/>
              <w:right w:type="dxa" w:w="60"/>
            </w:tcMar>
          </w:tcPr>
          <w:p>
            <w:pPr>
              <w:spacing w:after="40"/>
              <w:jc w:val="center"/>
            </w:pPr>
            <w:r>
              <w:rPr>
                <w:rFonts w:ascii="Times New Roman" w:cs="Times New Roman" w:eastAsia="Times New Roman" w:hAnsi="Times New Roman"/>
                <w:b/>
                <w:bCs/>
                <w:sz w:val="20"/>
                <w:szCs w:val="20"/>
              </w:rPr>
              <w:t xml:space="preserve">3rd Swarnalata Bollavarapu</w:t>
            </w:r>
            <w:r>
              <w:br/>
            </w:r>
            <w:r>
              <w:rPr>
                <w:rFonts w:ascii="Times New Roman" w:cs="Times New Roman" w:eastAsia="Times New Roman" w:hAnsi="Times New Roman"/>
                <w:i/>
                <w:iCs/>
                <w:sz w:val="18"/>
                <w:szCs w:val="18"/>
              </w:rPr>
              <w:t xml:space="preserve">Mukesh Patel School of Technology Management &amp; Engineering, SVKM's NMIMS</w:t>
            </w:r>
            <w:r>
              <w:br/>
            </w:r>
            <w:r>
              <w:rPr>
                <w:rFonts w:ascii="Times New Roman" w:cs="Times New Roman" w:eastAsia="Times New Roman" w:hAnsi="Times New Roman"/>
                <w:sz w:val="18"/>
                <w:szCs w:val="18"/>
              </w:rPr>
              <w:t xml:space="preserve">Mumbai, India</w:t>
            </w:r>
            <w:r>
              <w:br/>
            </w:r>
            <w:r>
              <w:rPr>
                <w:rFonts w:ascii="Times New Roman" w:cs="Times New Roman" w:eastAsia="Times New Roman" w:hAnsi="Times New Roman"/>
                <w:sz w:val="18"/>
                <w:szCs w:val="18"/>
              </w:rPr>
              <w:t xml:space="preserve">Swarnalata.B@nmims.edu</w:t>
            </w:r>
          </w:p>
        </w:tc>
      </w:tr>
    </w:tbl>
    <w:p>
      <w:pPr>
        <w:spacing w:after="200"/>
      </w:pPr>
    </w:p>
    <w:p>
      <w:pPr>
        <w:sectPr>
          <w:type w:val="nextPage"/>
          <w:pgSz w:w="12240" w:h="15840" w:orient="portrait"/>
          <w:pgMar w:top="1080" w:right="900" w:bottom="1440" w:left="900" w:header="708" w:footer="708" w:gutter="0"/>
          <w:pgNumType/>
          <w:docGrid w:linePitch="360"/>
        </w:sectPr>
      </w:pPr>
    </w:p>
    <w:p>
      <w:pPr>
        <w:spacing w:after="120"/>
        <w:jc w:val="both"/>
      </w:pPr>
      <w:r>
        <w:rPr>
          <w:rFonts w:ascii="Times New Roman" w:cs="Times New Roman" w:eastAsia="Times New Roman" w:hAnsi="Times New Roman"/>
          <w:b/>
          <w:bCs/>
          <w:i/>
          <w:iCs/>
          <w:sz w:val="20"/>
          <w:szCs w:val="20"/>
        </w:rPr>
        <w:t xml:space="preserve">Abstract—</w:t>
      </w:r>
      <w:r>
        <w:rPr>
          <w:rFonts w:ascii="Times New Roman" w:cs="Times New Roman" w:eastAsia="Times New Roman" w:hAnsi="Times New Roman"/>
          <w:i/>
          <w:iCs/>
          <w:sz w:val="20"/>
          <w:szCs w:val="20"/>
        </w:rPr>
        <w:t xml:space="preserve">Banks know a fraud ring rarely stops at one institution, but regulation keeps each bank's transaction data locked inside it — so we built EBA-FFD to test whether federated learning could let banks collaborate without ever sharing raw data, under a real, formally accounted privacy budget rather than a heuristic approximation. Two findings then reshaped the design. First, a bank whose data quality degrades mid-training — through a local fault or a fraud ring shifting tactics — could quietly poison the shared model, so we added an aggregation rule that reads each bank's training behavior and damps its influence the moment it looks wrong, without excluding it outright. Second, evaluating at full scale (100% of the ULB dataset, three seeds, up to 32 banks) revealed a real utility gap against a non-private baseline (F1 0.79 vs 0.83, p = 0.012) that a smaller pilot run had missed entirely. The resulting system holds F1 at 0.66 under sustained drift, where standard federated averaging collapses to 0.23; a plain multi-layer perceptron, simpler than the classifier we originally designed, turned out to work best, and a follow-up ablation indicates replacing our Focal Loss objective with plain binary cross-entropy would raise F1 further still, a change we recommend for the next full evaluation rather than one already reflected in the headline numbers below.</w:t>
      </w:r>
    </w:p>
    <w:p>
      <w:pPr>
        <w:spacing w:after="200"/>
      </w:pPr>
      <w:r>
        <w:rPr>
          <w:rFonts w:ascii="Times New Roman" w:cs="Times New Roman" w:eastAsia="Times New Roman" w:hAnsi="Times New Roman"/>
          <w:b/>
          <w:bCs/>
          <w:i/>
          <w:iCs/>
          <w:sz w:val="20"/>
          <w:szCs w:val="20"/>
        </w:rPr>
        <w:t xml:space="preserve">Keywords—</w:t>
      </w:r>
      <w:r>
        <w:rPr>
          <w:rFonts w:ascii="Times New Roman" w:cs="Times New Roman" w:eastAsia="Times New Roman" w:hAnsi="Times New Roman"/>
          <w:i/>
          <w:iCs/>
          <w:sz w:val="20"/>
          <w:szCs w:val="20"/>
        </w:rPr>
        <w:t xml:space="preserve">federated learning; differential privacy; concept drift; fraud detection; class imbalance; adaptive aggregation; non-IID data</w:t>
      </w:r>
    </w:p>
    <w:p>
      <w:pPr>
        <w:spacing w:after="90" w:before="180"/>
        <w:jc w:val="center"/>
      </w:pPr>
      <w:r>
        <w:rPr>
          <w:rFonts w:ascii="Times New Roman" w:cs="Times New Roman" w:eastAsia="Times New Roman" w:hAnsi="Times New Roman"/>
          <w:b/>
          <w:bCs/>
          <w:sz w:val="20"/>
          <w:szCs w:val="20"/>
        </w:rPr>
        <w:t xml:space="preserve">I. INTRODUCTION</w:t>
      </w:r>
    </w:p>
    <w:p>
      <w:pPr>
        <w:spacing w:after="90" w:line="232"/>
        <w:ind w:firstLine="200"/>
        <w:jc w:val="both"/>
      </w:pPr>
      <w:r>
        <w:rPr>
          <w:rFonts w:ascii="Times New Roman" w:cs="Times New Roman" w:eastAsia="Times New Roman" w:hAnsi="Times New Roman"/>
          <w:sz w:val="20"/>
          <w:szCs w:val="20"/>
        </w:rPr>
        <w:t xml:space="preserve">Payment-card fraud rarely stays confined to one bank, so cross-institution collaboration should help detect it. Regulations such as the General Data Protection Regulation (GDPR) [2], however, generally prohibit banks from pooling raw transaction records. Federated learning (FL) [1] avoids this: each bank trains locally and only model updates, not raw data, leave its premises. Three properties of this setting are routinely under-addressed. First, client data is non-identically distributed (non-IID) across banks, so a fixed aggregation rule can be dominated by whichever bank is largest. Second, a privacy guarantee must be formal, not heuristic — trained models can themselves leak membership information about their training data [3], which is exactly what a rigorous differential privacy (DP) guarantee is designed to bound. Third, fraud tactics drift over time, and a bank whose update stream becomes corrupted should be down-weighted, not silently trusted.</w:t>
      </w:r>
    </w:p>
    <w:p>
      <w:pPr>
        <w:spacing w:after="90" w:line="232"/>
        <w:ind w:firstLine="200"/>
        <w:jc w:val="both"/>
      </w:pPr>
      <w:r>
        <w:rPr>
          <w:rFonts w:ascii="Times New Roman" w:cs="Times New Roman" w:eastAsia="Times New Roman" w:hAnsi="Times New Roman"/>
          <w:sz w:val="20"/>
          <w:szCs w:val="20"/>
        </w:rPr>
        <w:t xml:space="preserve">We also identify two measurement pitfalls that can invalidate a reported result if left undiagnosed: a validation metric whose decision threshold is re-optimized every round can tie across rounds, defaulting a naive "best round" selection to the first round tried; and under injected drift, any validation-based round selection structurally favors the pre-drift round, erasing the exact comparison a drift experiment is meant to make. We further found that a utility gap invisible at small pilot scale became statistically significant once evaluated at full scale (Section V) — a caution for any small-scale FL evaluation.</w:t>
      </w:r>
    </w:p>
    <w:p>
      <w:pPr>
        <w:spacing w:after="90" w:line="232"/>
        <w:ind w:firstLine="200"/>
        <w:jc w:val="both"/>
      </w:pPr>
      <w:r>
        <w:rPr>
          <w:rFonts w:ascii="Times New Roman" w:cs="Times New Roman" w:eastAsia="Times New Roman" w:hAnsi="Times New Roman"/>
          <w:sz w:val="20"/>
          <w:szCs w:val="20"/>
        </w:rPr>
        <w:t xml:space="preserve">This paper's contributions are:</w:t>
      </w:r>
    </w:p>
    <w:p>
      <w:pPr>
        <w:spacing w:after="90" w:line="232"/>
        <w:ind w:left="260"/>
        <w:jc w:val="both"/>
      </w:pPr>
      <w:r>
        <w:rPr>
          <w:rFonts w:ascii="Times New Roman" w:cs="Times New Roman" w:eastAsia="Times New Roman" w:hAnsi="Times New Roman"/>
          <w:b/>
          <w:bCs/>
          <w:sz w:val="20"/>
          <w:szCs w:val="20"/>
        </w:rPr>
        <w:t xml:space="preserve">1) </w:t>
      </w:r>
      <w:r>
        <w:rPr>
          <w:rFonts w:ascii="Times New Roman" w:cs="Times New Roman" w:eastAsia="Times New Roman" w:hAnsi="Times New Roman"/>
          <w:sz w:val="20"/>
          <w:szCs w:val="20"/>
        </w:rPr>
        <w:t xml:space="preserve">An adaptive, trust-weighted aggregation rule, using a Page-Hinkley (PH) drift statistic on each client's training loss, that damps rather than excludes a drifting bank.</w:t>
      </w:r>
    </w:p>
    <w:p>
      <w:pPr>
        <w:spacing w:after="90" w:line="232"/>
        <w:ind w:left="260"/>
        <w:jc w:val="both"/>
      </w:pPr>
      <w:r>
        <w:rPr>
          <w:rFonts w:ascii="Times New Roman" w:cs="Times New Roman" w:eastAsia="Times New Roman" w:hAnsi="Times New Roman"/>
          <w:b/>
          <w:bCs/>
          <w:sz w:val="20"/>
          <w:szCs w:val="20"/>
        </w:rPr>
        <w:t xml:space="preserve">2) </w:t>
      </w:r>
      <w:r>
        <w:rPr>
          <w:rFonts w:ascii="Times New Roman" w:cs="Times New Roman" w:eastAsia="Times New Roman" w:hAnsi="Times New Roman"/>
          <w:sz w:val="20"/>
          <w:szCs w:val="20"/>
        </w:rPr>
        <w:t xml:space="preserve">Formally accounted, per-client differentially private stochastic gradient descent (DP-SGD), individually calibrated so banks of very different sizes reach one shared privacy budget.</w:t>
      </w:r>
    </w:p>
    <w:p>
      <w:pPr>
        <w:spacing w:after="90" w:line="232"/>
        <w:ind w:left="260"/>
        <w:jc w:val="both"/>
      </w:pPr>
      <w:r>
        <w:rPr>
          <w:rFonts w:ascii="Times New Roman" w:cs="Times New Roman" w:eastAsia="Times New Roman" w:hAnsi="Times New Roman"/>
          <w:b/>
          <w:bCs/>
          <w:sz w:val="20"/>
          <w:szCs w:val="20"/>
        </w:rPr>
        <w:t xml:space="preserve">3) </w:t>
      </w:r>
      <w:r>
        <w:rPr>
          <w:rFonts w:ascii="Times New Roman" w:cs="Times New Roman" w:eastAsia="Times New Roman" w:hAnsi="Times New Roman"/>
          <w:sz w:val="20"/>
          <w:szCs w:val="20"/>
        </w:rPr>
        <w:t xml:space="preserve">An architecture empirically right-sized for this DP-SGD noise regime: a plain multi-layer perceptron (MLP), confirmed at full scale to beat convolutional and recurrent alternatives; a further ablation indicates plain binary cross-entropy (BCE) would outperform our current Focal Loss objective, a change recommended for the system's next full evaluation.</w:t>
      </w:r>
    </w:p>
    <w:p>
      <w:pPr>
        <w:spacing w:after="90" w:line="232"/>
        <w:ind w:left="260"/>
        <w:jc w:val="both"/>
      </w:pPr>
      <w:r>
        <w:rPr>
          <w:rFonts w:ascii="Times New Roman" w:cs="Times New Roman" w:eastAsia="Times New Roman" w:hAnsi="Times New Roman"/>
          <w:b/>
          <w:bCs/>
          <w:sz w:val="20"/>
          <w:szCs w:val="20"/>
        </w:rPr>
        <w:t xml:space="preserve">4) </w:t>
      </w:r>
      <w:r>
        <w:rPr>
          <w:rFonts w:ascii="Times New Roman" w:cs="Times New Roman" w:eastAsia="Times New Roman" w:hAnsi="Times New Roman"/>
          <w:sz w:val="20"/>
          <w:szCs w:val="20"/>
        </w:rPr>
        <w:t xml:space="preserve">A measurement protocol that avoids both pitfalls above by selecting rounds from validation data only, and reporting sustained post-drift performance rather than a best-round snapshot.</w:t>
      </w:r>
    </w:p>
    <w:p>
      <w:pPr>
        <w:spacing w:after="90" w:line="232"/>
        <w:ind w:left="260"/>
        <w:jc w:val="both"/>
      </w:pPr>
      <w:r>
        <w:rPr>
          <w:rFonts w:ascii="Times New Roman" w:cs="Times New Roman" w:eastAsia="Times New Roman" w:hAnsi="Times New Roman"/>
          <w:b/>
          <w:bCs/>
          <w:sz w:val="20"/>
          <w:szCs w:val="20"/>
        </w:rPr>
        <w:t xml:space="preserve">5) </w:t>
      </w:r>
      <w:r>
        <w:rPr>
          <w:rFonts w:ascii="Times New Roman" w:cs="Times New Roman" w:eastAsia="Times New Roman" w:hAnsi="Times New Roman"/>
          <w:sz w:val="20"/>
          <w:szCs w:val="20"/>
        </w:rPr>
        <w:t xml:space="preserve">A full-scale evaluation (100% data, 3 seeds, 4-32 banks) that corrects a pilot-scale finding — a baseline gap invisible at small scale, real and significant at full scale.</w:t>
      </w:r>
    </w:p>
    <w:p>
      <w:pPr>
        <w:spacing w:after="90" w:line="232"/>
        <w:ind w:firstLine="200"/>
        <w:jc w:val="both"/>
      </w:pPr>
      <w:r>
        <w:rPr>
          <w:rFonts w:ascii="Times New Roman" w:cs="Times New Roman" w:eastAsia="Times New Roman" w:hAnsi="Times New Roman"/>
          <w:sz w:val="20"/>
          <w:szCs w:val="20"/>
        </w:rPr>
        <w:t xml:space="preserve">Section II reviews related work. Section III describes EBA-FFD's design. Section IV details the experimental setup. Section V reports results, Section VI discusses limitations, and Section VII concludes.</w:t>
      </w:r>
    </w:p>
    <w:p>
      <w:pPr>
        <w:spacing w:after="90" w:before="180"/>
        <w:jc w:val="center"/>
      </w:pPr>
      <w:r>
        <w:rPr>
          <w:rFonts w:ascii="Times New Roman" w:cs="Times New Roman" w:eastAsia="Times New Roman" w:hAnsi="Times New Roman"/>
          <w:b/>
          <w:bCs/>
          <w:sz w:val="20"/>
          <w:szCs w:val="20"/>
        </w:rPr>
        <w:t xml:space="preserve">II. RELATED WORK</w:t>
      </w:r>
    </w:p>
    <w:p>
      <w:pPr>
        <w:spacing w:after="90" w:line="232"/>
        <w:ind w:firstLine="200"/>
        <w:jc w:val="both"/>
      </w:pPr>
      <w:r>
        <w:rPr>
          <w:rFonts w:ascii="Times New Roman" w:cs="Times New Roman" w:eastAsia="Times New Roman" w:hAnsi="Times New Roman"/>
          <w:sz w:val="20"/>
          <w:szCs w:val="20"/>
        </w:rPr>
        <w:t xml:space="preserve">Federated averaging (FedAvg) [1] trains a global model by averaging client weights in proportion to dataset size; FedProx [4] adds a proximal term restraining client drift under non-IID data and is our aggregation-level baseline. Non-federated fraud detection has a long history — Bhattacharyya et al. [5] establish tree-based ensembles as strong baselines, motivating our XGBoost comparison. Within federated fraud detection, Yang et al. [6] propose FFD and Aljunaid et al. [7] combine FL with explainable AI, but neither validates drift robustness with an injected-drift evaluation harness, a central contribution here.</w:t>
      </w:r>
    </w:p>
    <w:p>
      <w:pPr>
        <w:spacing w:after="90" w:line="232"/>
        <w:ind w:firstLine="200"/>
        <w:jc w:val="both"/>
      </w:pPr>
      <w:r>
        <w:rPr>
          <w:rFonts w:ascii="Times New Roman" w:cs="Times New Roman" w:eastAsia="Times New Roman" w:hAnsi="Times New Roman"/>
          <w:sz w:val="20"/>
          <w:szCs w:val="20"/>
        </w:rPr>
        <w:t xml:space="preserve">DP-SGD [8] clips per-sample gradients and adds calibrated Gaussian noise, with a Rényi differential privacy (RDP) [9] accountant composing the guarantee across steps; we use the Opacus library [10], used previously to train differentially private recurrent models at scale [11]. Secure aggregation [12] is a complementary cryptographic technique — hiding individual updates without bounding what the aggregate reveals — not used here since our threat model is a formal DP guarantee against exactly that aggregate-level leakage.</w:t>
      </w:r>
    </w:p>
    <w:p>
      <w:pPr>
        <w:spacing w:after="90" w:line="232"/>
        <w:ind w:firstLine="200"/>
        <w:jc w:val="both"/>
      </w:pPr>
      <w:r>
        <w:rPr>
          <w:rFonts w:ascii="Times New Roman" w:cs="Times New Roman" w:eastAsia="Times New Roman" w:hAnsi="Times New Roman"/>
          <w:sz w:val="20"/>
          <w:szCs w:val="20"/>
        </w:rPr>
        <w:t xml:space="preserve">SMOTE [13] and KMeans-SMOTE [14] generate synthetic minority examples; we follow with Edited Nearest Neighbours (ENN) cleaning [15]. Focal Loss [16] down-weights easy examples and is EBA-FFD's current training objective, though an ablation (Section V) suggests it may be net-harmful once balancing already handles imbalance at full scale. Concept drift is surveyed by Gama et al. [18]; the Page-Hinkley (PH) test [17] it catalogues is our drift-detection mechanism, chosen since it needs no additional query against private client data beyond the training loss already computed — though, as we discuss in Section VI, that loss signal itself has not been formally analyzed under our DP accounting. Blanchard et al. [19] propose Krum, which excludes the most suspect client each round — our rule damps a drifting client's weight instead of excluding it.</w:t>
      </w:r>
    </w:p>
    <w:p>
      <w:pPr>
        <w:spacing w:after="90" w:before="180"/>
        <w:jc w:val="center"/>
      </w:pPr>
      <w:r>
        <w:rPr>
          <w:rFonts w:ascii="Times New Roman" w:cs="Times New Roman" w:eastAsia="Times New Roman" w:hAnsi="Times New Roman"/>
          <w:b/>
          <w:bCs/>
          <w:sz w:val="20"/>
          <w:szCs w:val="20"/>
        </w:rPr>
        <w:t xml:space="preserve">III. SYSTEM DESIGN</w:t>
      </w:r>
    </w:p>
    <w:p>
      <w:pPr>
        <w:spacing w:after="90" w:line="232"/>
        <w:ind w:firstLine="200"/>
        <w:jc w:val="both"/>
      </w:pPr>
      <w:r>
        <w:rPr>
          <w:rFonts w:ascii="Times New Roman" w:cs="Times New Roman" w:eastAsia="Times New Roman" w:hAnsi="Times New Roman"/>
          <w:sz w:val="20"/>
          <w:szCs w:val="20"/>
        </w:rPr>
        <w:t xml:space="preserve">EBA-FFD combines five components — non-IID partitioning, local class balancing, a right-sized classifier, DP-SGD local training, and drift-aware adaptive aggregation — into one federated pipeline rather than five independent add-ons. Fig. 1 shows the resulting per-round architecture: each bank balances and trains locally under DP-SGD and reports its updated weights and mean training loss; the server runs a PH test on each client's loss to compute a trust score, aggregates updates weighted by dataset size times trust, and broadcasts the updated global model back for the next round. Raw transaction data never leaves a bank at any stage — only two values do: the DP-SGD-protected weight update, which carries a formal (ε, δ) guarantee, and a scalar training loss used solely for drift detection, whose own privacy treatment is scoped separately in Section III.F and discussed as a limitation in Section VI.</w:t>
      </w:r>
    </w:p>
    <w:p>
      <w:pPr>
        <w:sectPr>
          <w:type w:val="continuous"/>
          <w:pgSz w:w="12240" w:h="15840" w:orient="portrait"/>
          <w:pgMar w:top="1080" w:right="900" w:bottom="1440" w:left="900" w:header="708" w:footer="708" w:gutter="0"/>
          <w:pgNumType/>
          <w:cols w:space="288" w:num="2"/>
          <w:docGrid w:linePitch="360"/>
        </w:sectPr>
      </w:pPr>
    </w:p>
    <w:p>
      <w:pPr>
        <w:spacing w:before="100"/>
        <w:jc w:val="center"/>
      </w:pPr>
      <w:r>
        <w:drawing>
          <wp:inline distT="0" distB="0" distL="0" distR="0">
            <wp:extent cx="5143500" cy="2324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143500" cy="2324100"/>
                    </a:xfrm>
                    <a:prstGeom prst="rect">
                      <a:avLst/>
                    </a:prstGeom>
                  </pic:spPr>
                </pic:pic>
              </a:graphicData>
            </a:graphic>
          </wp:inline>
        </w:drawing>
      </w:r>
    </w:p>
    <w:p>
      <w:pPr>
        <w:spacing w:after="140" w:before="60"/>
        <w:jc w:val="center"/>
      </w:pPr>
      <w:r>
        <w:rPr>
          <w:rFonts w:ascii="Times New Roman" w:cs="Times New Roman" w:eastAsia="Times New Roman" w:hAnsi="Times New Roman"/>
          <w:sz w:val="17"/>
          <w:szCs w:val="17"/>
        </w:rPr>
        <w:t xml:space="preserve">Fig. 1. EBA-FFD system architecture: per-round federated control flow.</w:t>
      </w:r>
    </w:p>
    <w:p>
      <w:pPr>
        <w:sectPr>
          <w:type w:val="continuous"/>
          <w:pgSz w:w="12240" w:h="15840" w:orient="portrait"/>
          <w:pgMar w:top="1080" w:right="900" w:bottom="1440" w:left="900" w:header="708" w:footer="708" w:gutter="0"/>
          <w:pgNumType/>
          <w:cols w:num="1"/>
          <w:docGrid w:linePitch="360"/>
        </w:sectPr>
      </w:pPr>
    </w:p>
    <w:p>
      <w:pPr>
        <w:spacing w:after="60" w:before="120"/>
        <w:jc w:val="left"/>
      </w:pPr>
      <w:r>
        <w:rPr>
          <w:rFonts w:ascii="Times New Roman" w:cs="Times New Roman" w:eastAsia="Times New Roman" w:hAnsi="Times New Roman"/>
          <w:b/>
          <w:bCs/>
          <w:i/>
          <w:iCs/>
          <w:sz w:val="20"/>
          <w:szCs w:val="20"/>
        </w:rPr>
        <w:t xml:space="preserve">A. Non-IID Data Partitioning</w:t>
      </w:r>
    </w:p>
    <w:p>
      <w:pPr>
        <w:spacing w:after="90" w:line="232"/>
        <w:ind w:firstLine="200"/>
        <w:jc w:val="both"/>
      </w:pPr>
      <w:r>
        <w:rPr>
          <w:rFonts w:ascii="Times New Roman" w:cs="Times New Roman" w:eastAsia="Times New Roman" w:hAnsi="Times New Roman"/>
          <w:sz w:val="20"/>
          <w:szCs w:val="20"/>
        </w:rPr>
        <w:t xml:space="preserve">Transactions are partitioned across simulated banks using a Dirichlet distribution (concentration α = 0.5) over class labels, producing clients with heterogeneous fraud incidence and dataset size. A minimum fraud-per-client floor tops up any client that would otherwise receive too few fraud examples to train or evaluate meaningfully.</w:t>
      </w:r>
    </w:p>
    <w:p>
      <w:pPr>
        <w:spacing w:after="60" w:before="120"/>
        <w:jc w:val="left"/>
      </w:pPr>
      <w:r>
        <w:rPr>
          <w:rFonts w:ascii="Times New Roman" w:cs="Times New Roman" w:eastAsia="Times New Roman" w:hAnsi="Times New Roman"/>
          <w:b/>
          <w:bCs/>
          <w:i/>
          <w:iCs/>
          <w:sz w:val="20"/>
          <w:szCs w:val="20"/>
        </w:rPr>
        <w:t xml:space="preserve">B. Local Class Balancing</w:t>
      </w:r>
    </w:p>
    <w:p>
      <w:pPr>
        <w:spacing w:after="90" w:line="232"/>
        <w:ind w:firstLine="200"/>
        <w:jc w:val="both"/>
      </w:pPr>
      <w:r>
        <w:rPr>
          <w:rFonts w:ascii="Times New Roman" w:cs="Times New Roman" w:eastAsia="Times New Roman" w:hAnsi="Times New Roman"/>
          <w:sz w:val="20"/>
          <w:szCs w:val="20"/>
        </w:rPr>
        <w:t xml:space="preserve">Each client independently balances its local training data every round using KMeans-SMOTE, falling back to plain SMOTE for clients whose cluster structure is too small, followed by ENN cleaning. This step never leaves the client, so no additional DP-SGD noise or privacy-budget expenditure is triggered by it. It does not, however, automatically preserve DP-SGD's per-example sensitivity assumptions: SMOTE-style oversampling interpolates between real neighbors, so a single original record can influence more than one synthetic training example. We have not formally re-derived per-sample sensitivity bounds for DP-SGD under this data-dependent transformation, and flag this as an open methodological question rather than a solved one (Section VI).</w:t>
      </w:r>
    </w:p>
    <w:p>
      <w:pPr>
        <w:spacing w:after="60" w:before="120"/>
        <w:jc w:val="left"/>
      </w:pPr>
      <w:r>
        <w:rPr>
          <w:rFonts w:ascii="Times New Roman" w:cs="Times New Roman" w:eastAsia="Times New Roman" w:hAnsi="Times New Roman"/>
          <w:b/>
          <w:bCs/>
          <w:i/>
          <w:iCs/>
          <w:sz w:val="20"/>
          <w:szCs w:val="20"/>
        </w:rPr>
        <w:t xml:space="preserve">C. Right-Sized Classifier</w:t>
      </w:r>
    </w:p>
    <w:p>
      <w:pPr>
        <w:spacing w:after="90" w:line="232"/>
        <w:ind w:firstLine="200"/>
        <w:jc w:val="both"/>
      </w:pPr>
      <w:r>
        <w:rPr>
          <w:rFonts w:ascii="Times New Roman" w:cs="Times New Roman" w:eastAsia="Times New Roman" w:hAnsi="Times New Roman"/>
          <w:sz w:val="20"/>
          <w:szCs w:val="20"/>
        </w:rPr>
        <w:t xml:space="preserve">An initial capacity sweep at matched ε = 3.0 compared a convolutional neural network (CNN)-only design against a CNN plus bidirectional long short-term memory (BiLSTM) design and found the recurrent block cost 0.12-0.15 F1, since a BiLSTM's per-timestep, per-sample gradients accumulate DP-SGD noise faster than a CNN's. A follow-up check confirmed at three seeds that a plain MLP head, with no convolutional or recurrent block, consistently beats CNN-only (F1 0.74 vs 0.72, 0.80 vs 0.78, 0.80 vs 0.78). EBA-FFD uses this MLP classifier; the CNN-only and CNN+BiLSTM variants are retained as ablation arms (Table III). The full-scale evaluation confirms the same ordering, with a narrower margin (ΔF1 −0.01 for CNN-only vs the MLP default).</w:t>
      </w:r>
    </w:p>
    <w:p>
      <w:pPr>
        <w:spacing w:after="60" w:before="120"/>
        <w:jc w:val="left"/>
      </w:pPr>
      <w:r>
        <w:rPr>
          <w:rFonts w:ascii="Times New Roman" w:cs="Times New Roman" w:eastAsia="Times New Roman" w:hAnsi="Times New Roman"/>
          <w:b/>
          <w:bCs/>
          <w:i/>
          <w:iCs/>
          <w:sz w:val="20"/>
          <w:szCs w:val="20"/>
        </w:rPr>
        <w:t xml:space="preserve">D. Loss Function</w:t>
      </w:r>
    </w:p>
    <w:p>
      <w:pPr>
        <w:spacing w:after="90" w:line="232"/>
        <w:ind w:firstLine="200"/>
        <w:jc w:val="both"/>
      </w:pPr>
      <w:r>
        <w:rPr>
          <w:rFonts w:ascii="Times New Roman" w:cs="Times New Roman" w:eastAsia="Times New Roman" w:hAnsi="Times New Roman"/>
          <w:sz w:val="20"/>
          <w:szCs w:val="20"/>
        </w:rPr>
        <w:t xml:space="preserve">EBA-FFD trains with Focal Loss (α = 0.25, γ = 2.0), and every result in Section V — including the headline comparison, drift, and scaling tables — was measured with this configuration. We flag this loss choice for revision, however: a stationary ablation swapping in plain BCE while holding every other component fixed showed BCE outperforming Focal Loss at full data scale (F1 0.82 vs 0.79, recall 0.79 vs 0.75, Table III) — the single largest gain in the entire ablation study, and a reversal of the pilot-scale result, which had shown no measurable difference between the two. We interpret this as KMeans-SMOTE/ENN balancing already handling the imbalance problem Focal Loss was meant to address once enough real data is available. We recommend BCE as the default for the system's next full-scale evaluation; only the stationary ablation in Table III has actually been measured under BCE, so we have not substituted it into the headline results here, to avoid reporting numbers under a configuration the rest of the paper was not evaluated under.</w:t>
      </w:r>
    </w:p>
    <w:p>
      <w:pPr>
        <w:spacing w:after="60" w:before="120"/>
        <w:jc w:val="left"/>
      </w:pPr>
      <w:r>
        <w:rPr>
          <w:rFonts w:ascii="Times New Roman" w:cs="Times New Roman" w:eastAsia="Times New Roman" w:hAnsi="Times New Roman"/>
          <w:b/>
          <w:bCs/>
          <w:i/>
          <w:iCs/>
          <w:sz w:val="20"/>
          <w:szCs w:val="20"/>
        </w:rPr>
        <w:t xml:space="preserve">E. Differentially Private Local Training</w:t>
      </w:r>
    </w:p>
    <w:p>
      <w:pPr>
        <w:spacing w:after="90" w:line="232"/>
        <w:ind w:firstLine="200"/>
        <w:jc w:val="both"/>
      </w:pPr>
      <w:r>
        <w:rPr>
          <w:rFonts w:ascii="Times New Roman" w:cs="Times New Roman" w:eastAsia="Times New Roman" w:hAnsi="Times New Roman"/>
          <w:sz w:val="20"/>
          <w:szCs w:val="20"/>
        </w:rPr>
        <w:t xml:space="preserve">Each client trains under DP-SGD via Opacus [10]: per-sample gradients are clipped to norm C = 1.0 and summed gradients are perturbed with Gaussian noise, with an RDP accountant [9] composing the realized (ε, δ) guarantee across every step and round. Each client's noise multiplier σₖ is individually solved for so every client reaches the same target budget (ε = 3.0, δ = 1×10⁻⁵) despite differing dataset sizes and step counts. Table II reports the resulting per-bank calibration.</w:t>
      </w:r>
    </w:p>
    <w:p>
      <w:pPr>
        <w:spacing w:after="60" w:before="120"/>
        <w:jc w:val="left"/>
      </w:pPr>
      <w:r>
        <w:rPr>
          <w:rFonts w:ascii="Times New Roman" w:cs="Times New Roman" w:eastAsia="Times New Roman" w:hAnsi="Times New Roman"/>
          <w:b/>
          <w:bCs/>
          <w:i/>
          <w:iCs/>
          <w:sz w:val="20"/>
          <w:szCs w:val="20"/>
        </w:rPr>
        <w:t xml:space="preserve">F. Drift Detection and Adaptive Aggregation</w:t>
      </w:r>
    </w:p>
    <w:p>
      <w:pPr>
        <w:spacing w:after="90" w:line="232"/>
        <w:ind w:firstLine="200"/>
        <w:jc w:val="both"/>
      </w:pPr>
      <w:r>
        <w:rPr>
          <w:rFonts w:ascii="Times New Roman" w:cs="Times New Roman" w:eastAsia="Times New Roman" w:hAnsi="Times New Roman"/>
          <w:sz w:val="20"/>
          <w:szCs w:val="20"/>
        </w:rPr>
        <w:t xml:space="preserve">Each client's mean local training loss is fed into a per-client PH statistic [17]. A client whose cumulative deviation from its running mean loss exceeds a threshold is flagged as drifting, and its aggregation weight is scaled by a trust factor that decays smoothly with drift severity (steepness β = 2.0) but never falls below a floor (trust_min = 0.20). With every client's trust fixed at 1.0, this rule reduces exactly to vanilla FedAvg, which is therefore both the no-adaptation ablation arm and an independent baseline. This scalar loss is computed directly from the client's real local batches and is not itself passed through the DP-SGD noise mechanism that protects the model weight update; unlike the weight update, its release to the server has not been formally analyzed under the (ε, δ) framework in this work, and we scope our privacy claim accordingly (Section VI).</w:t>
      </w:r>
    </w:p>
    <w:p>
      <w:pPr>
        <w:spacing w:after="60" w:before="120"/>
        <w:jc w:val="left"/>
      </w:pPr>
      <w:r>
        <w:rPr>
          <w:rFonts w:ascii="Times New Roman" w:cs="Times New Roman" w:eastAsia="Times New Roman" w:hAnsi="Times New Roman"/>
          <w:b/>
          <w:bCs/>
          <w:i/>
          <w:iCs/>
          <w:sz w:val="20"/>
          <w:szCs w:val="20"/>
        </w:rPr>
        <w:t xml:space="preserve">G. Drift Injection Evaluation Harness</w:t>
      </w:r>
    </w:p>
    <w:p>
      <w:pPr>
        <w:spacing w:after="90" w:line="232"/>
        <w:ind w:firstLine="200"/>
        <w:jc w:val="both"/>
      </w:pPr>
      <w:r>
        <w:rPr>
          <w:rFonts w:ascii="Times New Roman" w:cs="Times New Roman" w:eastAsia="Times New Roman" w:hAnsi="Times New Roman"/>
          <w:sz w:val="20"/>
          <w:szCs w:val="20"/>
        </w:rPr>
        <w:t xml:space="preserve">We inject drift mid-training as a label-flip on the federation's largest client (by sample count, determined per seed), rather than a covariate shift, since a covariate-shift injection was found to be neutralized by the classifier's normalization layer before it reaches the loss. We target the largest client, not a fixed index, since a fixed index can land on a near-empty client under some Dirichlet partitions, making drift injection a no-op.</w:t>
      </w:r>
    </w:p>
    <w:p>
      <w:pPr>
        <w:spacing w:after="90" w:before="180"/>
        <w:jc w:val="center"/>
      </w:pPr>
      <w:r>
        <w:rPr>
          <w:rFonts w:ascii="Times New Roman" w:cs="Times New Roman" w:eastAsia="Times New Roman" w:hAnsi="Times New Roman"/>
          <w:b/>
          <w:bCs/>
          <w:sz w:val="20"/>
          <w:szCs w:val="20"/>
        </w:rPr>
        <w:t xml:space="preserve">IV. EXPERIMENTAL SETUP</w:t>
      </w:r>
    </w:p>
    <w:p>
      <w:pPr>
        <w:spacing w:after="60" w:before="120"/>
        <w:jc w:val="left"/>
      </w:pPr>
      <w:r>
        <w:rPr>
          <w:rFonts w:ascii="Times New Roman" w:cs="Times New Roman" w:eastAsia="Times New Roman" w:hAnsi="Times New Roman"/>
          <w:b/>
          <w:bCs/>
          <w:i/>
          <w:iCs/>
          <w:sz w:val="20"/>
          <w:szCs w:val="20"/>
        </w:rPr>
        <w:t xml:space="preserve">A. Dataset</w:t>
      </w:r>
    </w:p>
    <w:p>
      <w:pPr>
        <w:spacing w:after="90" w:line="232"/>
        <w:ind w:firstLine="200"/>
        <w:jc w:val="both"/>
      </w:pPr>
      <w:r>
        <w:rPr>
          <w:rFonts w:ascii="Times New Roman" w:cs="Times New Roman" w:eastAsia="Times New Roman" w:hAnsi="Times New Roman"/>
          <w:sz w:val="20"/>
          <w:szCs w:val="20"/>
        </w:rPr>
        <w:t xml:space="preserve">Experiments use the ULB European cardholder credit-card transaction dataset [20]: 284,807 transactions, of which 492 (0.173%) are fraudulent, with 28 PCA-anonymized principal components plus Time and Amount. We selected this dataset over alternatives (synthetic fraud simulators, or proprietary bank datasets unavailable for academic publication) on three criteria: it is real transaction data rather than a synthetic approximation of fraud behavior; it is a public, widely used benchmark in the federated-fraud-detection literature [6], [7], which keeps our results comparable to prior work; and its extreme, realistic class imbalance (0.173% fraud) directly matches the imbalance-handling problem this paper addresses. We did not conduct a formal empirical comparison against alternative datasets — this is a stated selection rationale, not a rejection study.</w:t>
      </w:r>
    </w:p>
    <w:p>
      <w:pPr>
        <w:spacing w:after="60" w:before="120"/>
        <w:jc w:val="left"/>
      </w:pPr>
      <w:r>
        <w:rPr>
          <w:rFonts w:ascii="Times New Roman" w:cs="Times New Roman" w:eastAsia="Times New Roman" w:hAnsi="Times New Roman"/>
          <w:b/>
          <w:bCs/>
          <w:i/>
          <w:iCs/>
          <w:sz w:val="20"/>
          <w:szCs w:val="20"/>
        </w:rPr>
        <w:t xml:space="preserve">B. Full-Scale Configuration</w:t>
      </w:r>
    </w:p>
    <w:p>
      <w:pPr>
        <w:spacing w:after="90" w:line="232"/>
        <w:ind w:firstLine="200"/>
        <w:jc w:val="both"/>
      </w:pPr>
      <w:r>
        <w:rPr>
          <w:rFonts w:ascii="Times New Roman" w:cs="Times New Roman" w:eastAsia="Times New Roman" w:hAnsi="Times New Roman"/>
          <w:sz w:val="20"/>
          <w:szCs w:val="20"/>
        </w:rPr>
        <w:t xml:space="preserve">Results in Section V are from a full-scale run on a GPU cluster (Altair Access, NVIDIA H100): 100% of the dataset, ten communication rounds, three local epochs per round, three seeds ({42, 43, 44}), and federation sizes of 4, 8, 16, and 32 simulated banks (Dirichlet α = 0.5). This supersedes an earlier pilot-scale evaluation (20% subsample, two seeds) used only to validate the methodology before committing to this run.</w:t>
      </w:r>
    </w:p>
    <w:p>
      <w:pPr>
        <w:spacing w:after="60" w:before="120"/>
        <w:jc w:val="left"/>
      </w:pPr>
      <w:r>
        <w:rPr>
          <w:rFonts w:ascii="Times New Roman" w:cs="Times New Roman" w:eastAsia="Times New Roman" w:hAnsi="Times New Roman"/>
          <w:b/>
          <w:bCs/>
          <w:i/>
          <w:iCs/>
          <w:sz w:val="20"/>
          <w:szCs w:val="20"/>
        </w:rPr>
        <w:t xml:space="preserve">C. Baselines</w:t>
      </w:r>
    </w:p>
    <w:p>
      <w:pPr>
        <w:spacing w:after="90" w:line="232"/>
        <w:ind w:firstLine="200"/>
        <w:jc w:val="both"/>
      </w:pPr>
      <w:r>
        <w:rPr>
          <w:rFonts w:ascii="Times New Roman" w:cs="Times New Roman" w:eastAsia="Times New Roman" w:hAnsi="Times New Roman"/>
          <w:sz w:val="20"/>
          <w:szCs w:val="20"/>
        </w:rPr>
        <w:t xml:space="preserve">EBA-FFD is compared against XGBoost (eXtreme Gradient Boosting) [22] and Logistic Regression trained centrally on pooled data, a centralized CNN, a local-only model trained on one bank's data with no collaboration, vanilla FedAvg under the same DP-SGD configuration, and FedProx under the same configuration. Methods with no privacy guarantee (marked † in Table I) quantify the utility cost of privacy and non-IID collaboration rather than competing directly with EBA-FFD; FedProx at matched ε is the like-for-like federated comparison.</w:t>
      </w:r>
    </w:p>
    <w:p>
      <w:pPr>
        <w:spacing w:after="60" w:before="120"/>
        <w:jc w:val="left"/>
      </w:pPr>
      <w:r>
        <w:rPr>
          <w:rFonts w:ascii="Times New Roman" w:cs="Times New Roman" w:eastAsia="Times New Roman" w:hAnsi="Times New Roman"/>
          <w:b/>
          <w:bCs/>
          <w:i/>
          <w:iCs/>
          <w:sz w:val="20"/>
          <w:szCs w:val="20"/>
        </w:rPr>
        <w:t xml:space="preserve">D. Metrics and Model Selection Protocol</w:t>
      </w:r>
    </w:p>
    <w:p>
      <w:pPr>
        <w:spacing w:after="90" w:line="232"/>
        <w:ind w:firstLine="200"/>
        <w:jc w:val="both"/>
      </w:pPr>
      <w:r>
        <w:rPr>
          <w:rFonts w:ascii="Times New Roman" w:cs="Times New Roman" w:eastAsia="Times New Roman" w:hAnsi="Times New Roman"/>
          <w:sz w:val="20"/>
          <w:szCs w:val="20"/>
        </w:rPr>
        <w:t xml:space="preserve">We report Precision, Recall, F1, area under the receiver operating characteristic curve (ROC-AUC), and area under the precision-recall curve (PR-AUC). PR-AUC is emphasized over ROC-AUC for this task, since PR curves are more informative than ROC curves when evaluating classifiers on severely imbalanced data such as this dataset's 0.173% fraud rate [21]. The decision threshold is calibrated on a held-out validation split every round, and the reported round is selected by validation PR-AUC, never by test-set performance or by validation F1 (Section I). Under injected drift (Table IV) we instead report the final round's metrics, reflecting sustained drift-regime performance rather than a pre-drift snapshot.</w:t>
      </w:r>
    </w:p>
    <w:p>
      <w:pPr>
        <w:spacing w:after="60" w:before="120"/>
        <w:jc w:val="left"/>
      </w:pPr>
      <w:r>
        <w:rPr>
          <w:rFonts w:ascii="Times New Roman" w:cs="Times New Roman" w:eastAsia="Times New Roman" w:hAnsi="Times New Roman"/>
          <w:b/>
          <w:bCs/>
          <w:i/>
          <w:iCs/>
          <w:sz w:val="20"/>
          <w:szCs w:val="20"/>
        </w:rPr>
        <w:t xml:space="preserve">E. Statistical Protocol</w:t>
      </w:r>
    </w:p>
    <w:p>
      <w:pPr>
        <w:spacing w:after="90" w:line="232"/>
        <w:ind w:firstLine="200"/>
        <w:jc w:val="both"/>
      </w:pPr>
      <w:r>
        <w:rPr>
          <w:rFonts w:ascii="Times New Roman" w:cs="Times New Roman" w:eastAsia="Times New Roman" w:hAnsi="Times New Roman"/>
          <w:sz w:val="20"/>
          <w:szCs w:val="20"/>
        </w:rPr>
        <w:t xml:space="preserve">Every configuration runs across three seeds, controlling both data partition and model initialization. Table I reports mean ± standard deviation with a paired t-test on F1 against EBA-FFD as reference, paired on seed so that both methods are compared on identical data partitions and initializations. We use the t-test rather than the Wilcoxon signed-rank test because an exact Wilcoxon test at n = 3 cannot produce a two-sided p-value below 0.25 regardless of effect size, making it uninformative at this sample size; we also computed Wilcoxon statistics internally and confirmed they were, as expected, non-significant throughout. The t-test result itself rests on a normality assumption that three paired observations cannot verify, so the reported p-values should be read as an initial significance signal rather than a definitive test, pending a larger seed count.</w:t>
      </w:r>
    </w:p>
    <w:p>
      <w:pPr>
        <w:sectPr>
          <w:type w:val="continuous"/>
          <w:pgSz w:w="12240" w:h="15840" w:orient="portrait"/>
          <w:pgMar w:top="1080" w:right="900" w:bottom="1440" w:left="900" w:header="708" w:footer="708" w:gutter="0"/>
          <w:pgNumType/>
          <w:cols w:space="288" w:num="2"/>
          <w:docGrid w:linePitch="360"/>
        </w:sectPr>
      </w:pPr>
    </w:p>
    <w:p>
      <w:pPr>
        <w:spacing w:after="90" w:before="180"/>
        <w:jc w:val="center"/>
      </w:pPr>
      <w:r>
        <w:rPr>
          <w:rFonts w:ascii="Times New Roman" w:cs="Times New Roman" w:eastAsia="Times New Roman" w:hAnsi="Times New Roman"/>
          <w:b/>
          <w:bCs/>
          <w:sz w:val="20"/>
          <w:szCs w:val="20"/>
        </w:rPr>
        <w:t xml:space="preserve">V. RESULTS</w:t>
      </w:r>
    </w:p>
    <w:p>
      <w:pPr>
        <w:spacing w:after="90" w:line="232"/>
        <w:ind w:firstLine="200"/>
        <w:jc w:val="both"/>
      </w:pPr>
      <w:r>
        <w:rPr>
          <w:rFonts w:ascii="Times New Roman" w:cs="Times New Roman" w:eastAsia="Times New Roman" w:hAnsi="Times New Roman"/>
          <w:sz w:val="20"/>
          <w:szCs w:val="20"/>
        </w:rPr>
        <w:t xml:space="preserve">All results are from the full-scale configuration in Section IV.B (100% data, 3 seeds, 10 rounds) unless noted.</w:t>
      </w:r>
    </w:p>
    <w:p>
      <w:pPr>
        <w:spacing w:after="60" w:before="120"/>
        <w:jc w:val="left"/>
      </w:pPr>
      <w:r>
        <w:rPr>
          <w:rFonts w:ascii="Times New Roman" w:cs="Times New Roman" w:eastAsia="Times New Roman" w:hAnsi="Times New Roman"/>
          <w:b/>
          <w:bCs/>
          <w:i/>
          <w:iCs/>
          <w:sz w:val="20"/>
          <w:szCs w:val="20"/>
        </w:rPr>
        <w:t xml:space="preserve">A. Comparison Against Baselines (Table I)</w:t>
      </w:r>
    </w:p>
    <w:p>
      <w:pPr>
        <w:spacing w:after="90" w:line="232"/>
        <w:ind w:firstLine="200"/>
        <w:jc w:val="both"/>
      </w:pPr>
      <w:r>
        <w:rPr>
          <w:rFonts w:ascii="Times New Roman" w:cs="Times New Roman" w:eastAsia="Times New Roman" w:hAnsi="Times New Roman"/>
          <w:sz w:val="20"/>
          <w:szCs w:val="20"/>
        </w:rPr>
        <w:t xml:space="preserve">EBA-FFD attains F1 = 0.79 under formal (ε = 3.0, δ = 1×10⁻⁵)-DP. At full scale this is significantly below centralized XGBoost (F1 = 0.83, PR-AUC = 0.86; p = 0.012) — a real, quantifiable cost of privacy plus non-IID federation. This differs from an earlier pilot-scale evaluation in which the same comparison was not statistically distinguishable, since the full-scale run has more statistical power. EBA-FFD significantly outperforms a local-only bank (F1 = 0.77, p = 0.034), confirming federated collaboration earns its keep despite privacy's real cost, and is statistically indistinguishable from FedProx at matched ε (p = 0.423). EBA-FFD and FedAvg + DP report identical figures in Table I by construction, not coincidence: under stationary conditions no client is ever flagged as drifting, every trust score stays at 1.0, and the adaptive aggregation rule in Section III.F reduces exactly to vanilla FedAvg; the two rows diverge only under the injected-drift condition (Table IV).</w:t>
      </w:r>
    </w:p>
    <w:p>
      <w:pPr>
        <w:spacing w:before="120"/>
        <w:jc w:val="center"/>
      </w:pPr>
      <w:r>
        <w:drawing>
          <wp:inline distT="0" distB="0" distL="0" distR="0">
            <wp:extent cx="4953000" cy="2505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953000" cy="2505075"/>
                    </a:xfrm>
                    <a:prstGeom prst="rect">
                      <a:avLst/>
                    </a:prstGeom>
                  </pic:spPr>
                </pic:pic>
              </a:graphicData>
            </a:graphic>
          </wp:inline>
        </w:drawing>
      </w:r>
    </w:p>
    <w:p>
      <w:pPr>
        <w:spacing w:after="140" w:before="60"/>
        <w:jc w:val="center"/>
      </w:pPr>
      <w:r>
        <w:rPr>
          <w:rFonts w:ascii="Times New Roman" w:cs="Times New Roman" w:eastAsia="Times New Roman" w:hAnsi="Times New Roman"/>
          <w:sz w:val="17"/>
          <w:szCs w:val="17"/>
        </w:rPr>
        <w:t xml:space="preserve">Fig. 2. Precision, Recall, F1, ROC-AUC, and PR-AUC across methods (full scale, 3 seeds).</w:t>
      </w:r>
    </w:p>
    <w:p>
      <w:pPr>
        <w:spacing w:after="90"/>
        <w:jc w:val="center"/>
      </w:pPr>
      <w:r>
        <w:rPr>
          <w:rFonts w:ascii="Times New Roman" w:cs="Times New Roman" w:eastAsia="Times New Roman" w:hAnsi="Times New Roman"/>
          <w:b/>
          <w:bCs/>
          <w:sz w:val="17"/>
          <w:szCs w:val="17"/>
        </w:rPr>
        <w:t xml:space="preserve">TABLE I: COMPARISON AGAINST BASELINES</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2900"/>
        <w:gridCol w:w="1257"/>
        <w:gridCol w:w="1257"/>
        <w:gridCol w:w="1257"/>
        <w:gridCol w:w="1257"/>
        <w:gridCol w:w="1257"/>
        <w:gridCol w:w="1255"/>
      </w:tblGrid>
      <w:tr>
        <w:trPr>
          <w:tblHeader/>
        </w:trPr>
        <w:tc>
          <w:tcPr>
            <w:tcW w:type="dxa" w:w="2900"/>
            <w:shd w:fill="D9D9D9" w:val="clear"/>
            <w:tcMar>
              <w:top w:type="dxa" w:w="24"/>
              <w:left w:type="dxa" w:w="50"/>
              <w:bottom w:type="dxa" w:w="24"/>
              <w:right w:type="dxa" w:w="50"/>
            </w:tcMar>
            <w:vAlign w:val="center"/>
          </w:tcPr>
          <w:p>
            <w:pPr>
              <w:spacing w:after="0"/>
              <w:jc w:val="center"/>
            </w:pPr>
            <w:r>
              <w:rPr>
                <w:rFonts w:ascii="Times New Roman" w:cs="Times New Roman" w:eastAsia="Times New Roman" w:hAnsi="Times New Roman"/>
                <w:b/>
                <w:bCs/>
                <w:sz w:val="14"/>
                <w:szCs w:val="14"/>
              </w:rPr>
              <w:t xml:space="preserve">Method</w:t>
            </w:r>
          </w:p>
        </w:tc>
        <w:tc>
          <w:tcPr>
            <w:tcW w:type="dxa" w:w="1257"/>
            <w:shd w:fill="D9D9D9" w:val="clear"/>
            <w:tcMar>
              <w:top w:type="dxa" w:w="24"/>
              <w:left w:type="dxa" w:w="50"/>
              <w:bottom w:type="dxa" w:w="24"/>
              <w:right w:type="dxa" w:w="50"/>
            </w:tcMar>
            <w:vAlign w:val="center"/>
          </w:tcPr>
          <w:p>
            <w:pPr>
              <w:spacing w:after="0"/>
              <w:jc w:val="center"/>
            </w:pPr>
            <w:r>
              <w:rPr>
                <w:rFonts w:ascii="Times New Roman" w:cs="Times New Roman" w:eastAsia="Times New Roman" w:hAnsi="Times New Roman"/>
                <w:b/>
                <w:bCs/>
                <w:sz w:val="14"/>
                <w:szCs w:val="14"/>
              </w:rPr>
              <w:t xml:space="preserve">Precision</w:t>
            </w:r>
          </w:p>
        </w:tc>
        <w:tc>
          <w:tcPr>
            <w:tcW w:type="dxa" w:w="1257"/>
            <w:shd w:fill="D9D9D9" w:val="clear"/>
            <w:tcMar>
              <w:top w:type="dxa" w:w="24"/>
              <w:left w:type="dxa" w:w="50"/>
              <w:bottom w:type="dxa" w:w="24"/>
              <w:right w:type="dxa" w:w="50"/>
            </w:tcMar>
            <w:vAlign w:val="center"/>
          </w:tcPr>
          <w:p>
            <w:pPr>
              <w:spacing w:after="0"/>
              <w:jc w:val="center"/>
            </w:pPr>
            <w:r>
              <w:rPr>
                <w:rFonts w:ascii="Times New Roman" w:cs="Times New Roman" w:eastAsia="Times New Roman" w:hAnsi="Times New Roman"/>
                <w:b/>
                <w:bCs/>
                <w:sz w:val="14"/>
                <w:szCs w:val="14"/>
              </w:rPr>
              <w:t xml:space="preserve">Recall</w:t>
            </w:r>
          </w:p>
        </w:tc>
        <w:tc>
          <w:tcPr>
            <w:tcW w:type="dxa" w:w="1257"/>
            <w:shd w:fill="D9D9D9" w:val="clear"/>
            <w:tcMar>
              <w:top w:type="dxa" w:w="24"/>
              <w:left w:type="dxa" w:w="50"/>
              <w:bottom w:type="dxa" w:w="24"/>
              <w:right w:type="dxa" w:w="50"/>
            </w:tcMar>
            <w:vAlign w:val="center"/>
          </w:tcPr>
          <w:p>
            <w:pPr>
              <w:spacing w:after="0"/>
              <w:jc w:val="center"/>
            </w:pPr>
            <w:r>
              <w:rPr>
                <w:rFonts w:ascii="Times New Roman" w:cs="Times New Roman" w:eastAsia="Times New Roman" w:hAnsi="Times New Roman"/>
                <w:b/>
                <w:bCs/>
                <w:sz w:val="14"/>
                <w:szCs w:val="14"/>
              </w:rPr>
              <w:t xml:space="preserve">F1</w:t>
            </w:r>
          </w:p>
        </w:tc>
        <w:tc>
          <w:tcPr>
            <w:tcW w:type="dxa" w:w="1257"/>
            <w:shd w:fill="D9D9D9" w:val="clear"/>
            <w:tcMar>
              <w:top w:type="dxa" w:w="24"/>
              <w:left w:type="dxa" w:w="50"/>
              <w:bottom w:type="dxa" w:w="24"/>
              <w:right w:type="dxa" w:w="50"/>
            </w:tcMar>
            <w:vAlign w:val="center"/>
          </w:tcPr>
          <w:p>
            <w:pPr>
              <w:spacing w:after="0"/>
              <w:jc w:val="center"/>
            </w:pPr>
            <w:r>
              <w:rPr>
                <w:rFonts w:ascii="Times New Roman" w:cs="Times New Roman" w:eastAsia="Times New Roman" w:hAnsi="Times New Roman"/>
                <w:b/>
                <w:bCs/>
                <w:sz w:val="14"/>
                <w:szCs w:val="14"/>
              </w:rPr>
              <w:t xml:space="preserve">ROC-AUC</w:t>
            </w:r>
          </w:p>
        </w:tc>
        <w:tc>
          <w:tcPr>
            <w:tcW w:type="dxa" w:w="1257"/>
            <w:shd w:fill="D9D9D9" w:val="clear"/>
            <w:tcMar>
              <w:top w:type="dxa" w:w="24"/>
              <w:left w:type="dxa" w:w="50"/>
              <w:bottom w:type="dxa" w:w="24"/>
              <w:right w:type="dxa" w:w="50"/>
            </w:tcMar>
            <w:vAlign w:val="center"/>
          </w:tcPr>
          <w:p>
            <w:pPr>
              <w:spacing w:after="0"/>
              <w:jc w:val="center"/>
            </w:pPr>
            <w:r>
              <w:rPr>
                <w:rFonts w:ascii="Times New Roman" w:cs="Times New Roman" w:eastAsia="Times New Roman" w:hAnsi="Times New Roman"/>
                <w:b/>
                <w:bCs/>
                <w:sz w:val="14"/>
                <w:szCs w:val="14"/>
              </w:rPr>
              <w:t xml:space="preserve">PR-AUC</w:t>
            </w:r>
          </w:p>
        </w:tc>
        <w:tc>
          <w:tcPr>
            <w:tcW w:type="dxa" w:w="1255"/>
            <w:shd w:fill="D9D9D9" w:val="clear"/>
            <w:tcMar>
              <w:top w:type="dxa" w:w="24"/>
              <w:left w:type="dxa" w:w="50"/>
              <w:bottom w:type="dxa" w:w="24"/>
              <w:right w:type="dxa" w:w="50"/>
            </w:tcMar>
            <w:vAlign w:val="center"/>
          </w:tcPr>
          <w:p>
            <w:pPr>
              <w:spacing w:after="0"/>
              <w:jc w:val="center"/>
            </w:pPr>
            <w:r>
              <w:rPr>
                <w:rFonts w:ascii="Times New Roman" w:cs="Times New Roman" w:eastAsia="Times New Roman" w:hAnsi="Times New Roman"/>
                <w:b/>
                <w:bCs/>
                <w:sz w:val="14"/>
                <w:szCs w:val="14"/>
              </w:rPr>
              <w:t xml:space="preserve">p (F1)</w:t>
            </w:r>
          </w:p>
        </w:tc>
      </w:tr>
      <w:tr>
        <w:tc>
          <w:tcPr>
            <w:tcW w:type="dxa" w:w="2900"/>
            <w:tcMar>
              <w:top w:type="dxa" w:w="24"/>
              <w:left w:type="dxa" w:w="50"/>
              <w:bottom w:type="dxa" w:w="24"/>
              <w:right w:type="dxa" w:w="50"/>
            </w:tcMar>
            <w:vAlign w:val="center"/>
          </w:tcPr>
          <w:p>
            <w:pPr>
              <w:spacing w:after="0"/>
              <w:jc w:val="left"/>
            </w:pPr>
            <w:r>
              <w:rPr>
                <w:rFonts w:ascii="Times New Roman" w:cs="Times New Roman" w:eastAsia="Times New Roman" w:hAnsi="Times New Roman"/>
                <w:b w:val="false"/>
                <w:bCs w:val="false"/>
                <w:sz w:val="14"/>
                <w:szCs w:val="14"/>
              </w:rPr>
              <w:t xml:space="preserve">EBA-FFD (ours, DP)</w:t>
            </w:r>
          </w:p>
        </w:tc>
        <w:tc>
          <w:tcPr>
            <w:tcW w:type="dxa" w:w="1257"/>
            <w:tcMar>
              <w:top w:type="dxa" w:w="24"/>
              <w:left w:type="dxa" w:w="50"/>
              <w:bottom w:type="dxa" w:w="24"/>
              <w:right w:type="dxa" w:w="50"/>
            </w:tcMar>
            <w:vAlign w:val="center"/>
          </w:tcPr>
          <w:p>
            <w:pPr>
              <w:spacing w:after="0"/>
              <w:jc w:val="center"/>
            </w:pPr>
            <w:r>
              <w:rPr>
                <w:rFonts w:ascii="Times New Roman" w:cs="Times New Roman" w:eastAsia="Times New Roman" w:hAnsi="Times New Roman"/>
                <w:b w:val="false"/>
                <w:bCs w:val="false"/>
                <w:sz w:val="14"/>
                <w:szCs w:val="14"/>
              </w:rPr>
              <w:t xml:space="preserve">0.85 ± 0.03</w:t>
            </w:r>
          </w:p>
        </w:tc>
        <w:tc>
          <w:tcPr>
            <w:tcW w:type="dxa" w:w="1257"/>
            <w:tcMar>
              <w:top w:type="dxa" w:w="24"/>
              <w:left w:type="dxa" w:w="50"/>
              <w:bottom w:type="dxa" w:w="24"/>
              <w:right w:type="dxa" w:w="50"/>
            </w:tcMar>
            <w:vAlign w:val="center"/>
          </w:tcPr>
          <w:p>
            <w:pPr>
              <w:spacing w:after="0"/>
              <w:jc w:val="center"/>
            </w:pPr>
            <w:r>
              <w:rPr>
                <w:rFonts w:ascii="Times New Roman" w:cs="Times New Roman" w:eastAsia="Times New Roman" w:hAnsi="Times New Roman"/>
                <w:b w:val="false"/>
                <w:bCs w:val="false"/>
                <w:sz w:val="14"/>
                <w:szCs w:val="14"/>
              </w:rPr>
              <w:t xml:space="preserve">0.75 ± 0.06</w:t>
            </w:r>
          </w:p>
        </w:tc>
        <w:tc>
          <w:tcPr>
            <w:tcW w:type="dxa" w:w="1257"/>
            <w:tcMar>
              <w:top w:type="dxa" w:w="24"/>
              <w:left w:type="dxa" w:w="50"/>
              <w:bottom w:type="dxa" w:w="24"/>
              <w:right w:type="dxa" w:w="50"/>
            </w:tcMar>
            <w:vAlign w:val="center"/>
          </w:tcPr>
          <w:p>
            <w:pPr>
              <w:spacing w:after="0"/>
              <w:jc w:val="center"/>
            </w:pPr>
            <w:r>
              <w:rPr>
                <w:rFonts w:ascii="Times New Roman" w:cs="Times New Roman" w:eastAsia="Times New Roman" w:hAnsi="Times New Roman"/>
                <w:b w:val="false"/>
                <w:bCs w:val="false"/>
                <w:sz w:val="14"/>
                <w:szCs w:val="14"/>
              </w:rPr>
              <w:t xml:space="preserve">0.79 ± 0.02</w:t>
            </w:r>
          </w:p>
        </w:tc>
        <w:tc>
          <w:tcPr>
            <w:tcW w:type="dxa" w:w="1257"/>
            <w:tcMar>
              <w:top w:type="dxa" w:w="24"/>
              <w:left w:type="dxa" w:w="50"/>
              <w:bottom w:type="dxa" w:w="24"/>
              <w:right w:type="dxa" w:w="50"/>
            </w:tcMar>
            <w:vAlign w:val="center"/>
          </w:tcPr>
          <w:p>
            <w:pPr>
              <w:spacing w:after="0"/>
              <w:jc w:val="center"/>
            </w:pPr>
            <w:r>
              <w:rPr>
                <w:rFonts w:ascii="Times New Roman" w:cs="Times New Roman" w:eastAsia="Times New Roman" w:hAnsi="Times New Roman"/>
                <w:b w:val="false"/>
                <w:bCs w:val="false"/>
                <w:sz w:val="14"/>
                <w:szCs w:val="14"/>
              </w:rPr>
              <w:t xml:space="preserve">0.97 ± 0.01</w:t>
            </w:r>
          </w:p>
        </w:tc>
        <w:tc>
          <w:tcPr>
            <w:tcW w:type="dxa" w:w="1257"/>
            <w:tcMar>
              <w:top w:type="dxa" w:w="24"/>
              <w:left w:type="dxa" w:w="50"/>
              <w:bottom w:type="dxa" w:w="24"/>
              <w:right w:type="dxa" w:w="50"/>
            </w:tcMar>
            <w:vAlign w:val="center"/>
          </w:tcPr>
          <w:p>
            <w:pPr>
              <w:spacing w:after="0"/>
              <w:jc w:val="center"/>
            </w:pPr>
            <w:r>
              <w:rPr>
                <w:rFonts w:ascii="Times New Roman" w:cs="Times New Roman" w:eastAsia="Times New Roman" w:hAnsi="Times New Roman"/>
                <w:b w:val="false"/>
                <w:bCs w:val="false"/>
                <w:sz w:val="14"/>
                <w:szCs w:val="14"/>
              </w:rPr>
              <w:t xml:space="preserve">0.73 ± 0.02</w:t>
            </w:r>
          </w:p>
        </w:tc>
        <w:tc>
          <w:tcPr>
            <w:tcW w:type="dxa" w:w="1255"/>
            <w:tcMar>
              <w:top w:type="dxa" w:w="24"/>
              <w:left w:type="dxa" w:w="50"/>
              <w:bottom w:type="dxa" w:w="24"/>
              <w:right w:type="dxa" w:w="50"/>
            </w:tcMar>
            <w:vAlign w:val="center"/>
          </w:tcPr>
          <w:p>
            <w:pPr>
              <w:spacing w:after="0"/>
              <w:jc w:val="center"/>
            </w:pPr>
            <w:r>
              <w:rPr>
                <w:rFonts w:ascii="Times New Roman" w:cs="Times New Roman" w:eastAsia="Times New Roman" w:hAnsi="Times New Roman"/>
                <w:b w:val="false"/>
                <w:bCs w:val="false"/>
                <w:sz w:val="14"/>
                <w:szCs w:val="14"/>
              </w:rPr>
              <w:t xml:space="preserve">ref</w:t>
            </w:r>
          </w:p>
        </w:tc>
      </w:tr>
      <w:tr>
        <w:tc>
          <w:tcPr>
            <w:tcW w:type="dxa" w:w="2900"/>
            <w:tcMar>
              <w:top w:type="dxa" w:w="24"/>
              <w:left w:type="dxa" w:w="50"/>
              <w:bottom w:type="dxa" w:w="24"/>
              <w:right w:type="dxa" w:w="50"/>
            </w:tcMar>
            <w:vAlign w:val="center"/>
          </w:tcPr>
          <w:p>
            <w:pPr>
              <w:spacing w:after="0"/>
              <w:jc w:val="left"/>
            </w:pPr>
            <w:r>
              <w:rPr>
                <w:rFonts w:ascii="Times New Roman" w:cs="Times New Roman" w:eastAsia="Times New Roman" w:hAnsi="Times New Roman"/>
                <w:b w:val="false"/>
                <w:bCs w:val="false"/>
                <w:sz w:val="14"/>
                <w:szCs w:val="14"/>
              </w:rPr>
              <w:t xml:space="preserve">XGBoost (centralized)†</w:t>
            </w:r>
          </w:p>
        </w:tc>
        <w:tc>
          <w:tcPr>
            <w:tcW w:type="dxa" w:w="1257"/>
            <w:tcMar>
              <w:top w:type="dxa" w:w="24"/>
              <w:left w:type="dxa" w:w="50"/>
              <w:bottom w:type="dxa" w:w="24"/>
              <w:right w:type="dxa" w:w="50"/>
            </w:tcMar>
            <w:vAlign w:val="center"/>
          </w:tcPr>
          <w:p>
            <w:pPr>
              <w:spacing w:after="0"/>
              <w:jc w:val="center"/>
            </w:pPr>
            <w:r>
              <w:rPr>
                <w:rFonts w:ascii="Times New Roman" w:cs="Times New Roman" w:eastAsia="Times New Roman" w:hAnsi="Times New Roman"/>
                <w:b w:val="false"/>
                <w:bCs w:val="false"/>
                <w:sz w:val="14"/>
                <w:szCs w:val="14"/>
              </w:rPr>
              <w:t xml:space="preserve">0.91 ± 0.02</w:t>
            </w:r>
          </w:p>
        </w:tc>
        <w:tc>
          <w:tcPr>
            <w:tcW w:type="dxa" w:w="1257"/>
            <w:tcMar>
              <w:top w:type="dxa" w:w="24"/>
              <w:left w:type="dxa" w:w="50"/>
              <w:bottom w:type="dxa" w:w="24"/>
              <w:right w:type="dxa" w:w="50"/>
            </w:tcMar>
            <w:vAlign w:val="center"/>
          </w:tcPr>
          <w:p>
            <w:pPr>
              <w:spacing w:after="0"/>
              <w:jc w:val="center"/>
            </w:pPr>
            <w:r>
              <w:rPr>
                <w:rFonts w:ascii="Times New Roman" w:cs="Times New Roman" w:eastAsia="Times New Roman" w:hAnsi="Times New Roman"/>
                <w:b w:val="false"/>
                <w:bCs w:val="false"/>
                <w:sz w:val="14"/>
                <w:szCs w:val="14"/>
              </w:rPr>
              <w:t xml:space="preserve">0.76 ± 0.03</w:t>
            </w:r>
          </w:p>
        </w:tc>
        <w:tc>
          <w:tcPr>
            <w:tcW w:type="dxa" w:w="1257"/>
            <w:tcMar>
              <w:top w:type="dxa" w:w="24"/>
              <w:left w:type="dxa" w:w="50"/>
              <w:bottom w:type="dxa" w:w="24"/>
              <w:right w:type="dxa" w:w="50"/>
            </w:tcMar>
            <w:vAlign w:val="center"/>
          </w:tcPr>
          <w:p>
            <w:pPr>
              <w:spacing w:after="0"/>
              <w:jc w:val="center"/>
            </w:pPr>
            <w:r>
              <w:rPr>
                <w:rFonts w:ascii="Times New Roman" w:cs="Times New Roman" w:eastAsia="Times New Roman" w:hAnsi="Times New Roman"/>
                <w:b w:val="false"/>
                <w:bCs w:val="false"/>
                <w:sz w:val="14"/>
                <w:szCs w:val="14"/>
              </w:rPr>
              <w:t xml:space="preserve">0.83 ± 0.01</w:t>
            </w:r>
          </w:p>
        </w:tc>
        <w:tc>
          <w:tcPr>
            <w:tcW w:type="dxa" w:w="1257"/>
            <w:tcMar>
              <w:top w:type="dxa" w:w="24"/>
              <w:left w:type="dxa" w:w="50"/>
              <w:bottom w:type="dxa" w:w="24"/>
              <w:right w:type="dxa" w:w="50"/>
            </w:tcMar>
            <w:vAlign w:val="center"/>
          </w:tcPr>
          <w:p>
            <w:pPr>
              <w:spacing w:after="0"/>
              <w:jc w:val="center"/>
            </w:pPr>
            <w:r>
              <w:rPr>
                <w:rFonts w:ascii="Times New Roman" w:cs="Times New Roman" w:eastAsia="Times New Roman" w:hAnsi="Times New Roman"/>
                <w:b w:val="false"/>
                <w:bCs w:val="false"/>
                <w:sz w:val="14"/>
                <w:szCs w:val="14"/>
              </w:rPr>
              <w:t xml:space="preserve">0.98 ± 0.01</w:t>
            </w:r>
          </w:p>
        </w:tc>
        <w:tc>
          <w:tcPr>
            <w:tcW w:type="dxa" w:w="1257"/>
            <w:tcMar>
              <w:top w:type="dxa" w:w="24"/>
              <w:left w:type="dxa" w:w="50"/>
              <w:bottom w:type="dxa" w:w="24"/>
              <w:right w:type="dxa" w:w="50"/>
            </w:tcMar>
            <w:vAlign w:val="center"/>
          </w:tcPr>
          <w:p>
            <w:pPr>
              <w:spacing w:after="0"/>
              <w:jc w:val="center"/>
            </w:pPr>
            <w:r>
              <w:rPr>
                <w:rFonts w:ascii="Times New Roman" w:cs="Times New Roman" w:eastAsia="Times New Roman" w:hAnsi="Times New Roman"/>
                <w:b w:val="false"/>
                <w:bCs w:val="false"/>
                <w:sz w:val="14"/>
                <w:szCs w:val="14"/>
              </w:rPr>
              <w:t xml:space="preserve">0.86 ± 0.03</w:t>
            </w:r>
          </w:p>
        </w:tc>
        <w:tc>
          <w:tcPr>
            <w:tcW w:type="dxa" w:w="1255"/>
            <w:tcMar>
              <w:top w:type="dxa" w:w="24"/>
              <w:left w:type="dxa" w:w="50"/>
              <w:bottom w:type="dxa" w:w="24"/>
              <w:right w:type="dxa" w:w="50"/>
            </w:tcMar>
            <w:vAlign w:val="center"/>
          </w:tcPr>
          <w:p>
            <w:pPr>
              <w:spacing w:after="0"/>
              <w:jc w:val="center"/>
            </w:pPr>
            <w:r>
              <w:rPr>
                <w:rFonts w:ascii="Times New Roman" w:cs="Times New Roman" w:eastAsia="Times New Roman" w:hAnsi="Times New Roman"/>
                <w:b w:val="false"/>
                <w:bCs w:val="false"/>
                <w:sz w:val="14"/>
                <w:szCs w:val="14"/>
              </w:rPr>
              <w:t xml:space="preserve">0.012</w:t>
            </w:r>
          </w:p>
        </w:tc>
      </w:tr>
      <w:tr>
        <w:tc>
          <w:tcPr>
            <w:tcW w:type="dxa" w:w="2900"/>
            <w:tcMar>
              <w:top w:type="dxa" w:w="24"/>
              <w:left w:type="dxa" w:w="50"/>
              <w:bottom w:type="dxa" w:w="24"/>
              <w:right w:type="dxa" w:w="50"/>
            </w:tcMar>
            <w:vAlign w:val="center"/>
          </w:tcPr>
          <w:p>
            <w:pPr>
              <w:spacing w:after="0"/>
              <w:jc w:val="left"/>
            </w:pPr>
            <w:r>
              <w:rPr>
                <w:rFonts w:ascii="Times New Roman" w:cs="Times New Roman" w:eastAsia="Times New Roman" w:hAnsi="Times New Roman"/>
                <w:b w:val="false"/>
                <w:bCs w:val="false"/>
                <w:sz w:val="14"/>
                <w:szCs w:val="14"/>
              </w:rPr>
              <w:t xml:space="preserve">Local-only (no collab.)†</w:t>
            </w:r>
          </w:p>
        </w:tc>
        <w:tc>
          <w:tcPr>
            <w:tcW w:type="dxa" w:w="1257"/>
            <w:tcMar>
              <w:top w:type="dxa" w:w="24"/>
              <w:left w:type="dxa" w:w="50"/>
              <w:bottom w:type="dxa" w:w="24"/>
              <w:right w:type="dxa" w:w="50"/>
            </w:tcMar>
            <w:vAlign w:val="center"/>
          </w:tcPr>
          <w:p>
            <w:pPr>
              <w:spacing w:after="0"/>
              <w:jc w:val="center"/>
            </w:pPr>
            <w:r>
              <w:rPr>
                <w:rFonts w:ascii="Times New Roman" w:cs="Times New Roman" w:eastAsia="Times New Roman" w:hAnsi="Times New Roman"/>
                <w:b w:val="false"/>
                <w:bCs w:val="false"/>
                <w:sz w:val="14"/>
                <w:szCs w:val="14"/>
              </w:rPr>
              <w:t xml:space="preserve">0.85 ± 0.05</w:t>
            </w:r>
          </w:p>
        </w:tc>
        <w:tc>
          <w:tcPr>
            <w:tcW w:type="dxa" w:w="1257"/>
            <w:tcMar>
              <w:top w:type="dxa" w:w="24"/>
              <w:left w:type="dxa" w:w="50"/>
              <w:bottom w:type="dxa" w:w="24"/>
              <w:right w:type="dxa" w:w="50"/>
            </w:tcMar>
            <w:vAlign w:val="center"/>
          </w:tcPr>
          <w:p>
            <w:pPr>
              <w:spacing w:after="0"/>
              <w:jc w:val="center"/>
            </w:pPr>
            <w:r>
              <w:rPr>
                <w:rFonts w:ascii="Times New Roman" w:cs="Times New Roman" w:eastAsia="Times New Roman" w:hAnsi="Times New Roman"/>
                <w:b w:val="false"/>
                <w:bCs w:val="false"/>
                <w:sz w:val="14"/>
                <w:szCs w:val="14"/>
              </w:rPr>
              <w:t xml:space="preserve">0.71 ± 0.06</w:t>
            </w:r>
          </w:p>
        </w:tc>
        <w:tc>
          <w:tcPr>
            <w:tcW w:type="dxa" w:w="1257"/>
            <w:tcMar>
              <w:top w:type="dxa" w:w="24"/>
              <w:left w:type="dxa" w:w="50"/>
              <w:bottom w:type="dxa" w:w="24"/>
              <w:right w:type="dxa" w:w="50"/>
            </w:tcMar>
            <w:vAlign w:val="center"/>
          </w:tcPr>
          <w:p>
            <w:pPr>
              <w:spacing w:after="0"/>
              <w:jc w:val="center"/>
            </w:pPr>
            <w:r>
              <w:rPr>
                <w:rFonts w:ascii="Times New Roman" w:cs="Times New Roman" w:eastAsia="Times New Roman" w:hAnsi="Times New Roman"/>
                <w:b w:val="false"/>
                <w:bCs w:val="false"/>
                <w:sz w:val="14"/>
                <w:szCs w:val="14"/>
              </w:rPr>
              <w:t xml:space="preserve">0.77 ± 0.02</w:t>
            </w:r>
          </w:p>
        </w:tc>
        <w:tc>
          <w:tcPr>
            <w:tcW w:type="dxa" w:w="1257"/>
            <w:tcMar>
              <w:top w:type="dxa" w:w="24"/>
              <w:left w:type="dxa" w:w="50"/>
              <w:bottom w:type="dxa" w:w="24"/>
              <w:right w:type="dxa" w:w="50"/>
            </w:tcMar>
            <w:vAlign w:val="center"/>
          </w:tcPr>
          <w:p>
            <w:pPr>
              <w:spacing w:after="0"/>
              <w:jc w:val="center"/>
            </w:pPr>
            <w:r>
              <w:rPr>
                <w:rFonts w:ascii="Times New Roman" w:cs="Times New Roman" w:eastAsia="Times New Roman" w:hAnsi="Times New Roman"/>
                <w:b w:val="false"/>
                <w:bCs w:val="false"/>
                <w:sz w:val="14"/>
                <w:szCs w:val="14"/>
              </w:rPr>
              <w:t xml:space="preserve">0.97 ± 0.01</w:t>
            </w:r>
          </w:p>
        </w:tc>
        <w:tc>
          <w:tcPr>
            <w:tcW w:type="dxa" w:w="1257"/>
            <w:tcMar>
              <w:top w:type="dxa" w:w="24"/>
              <w:left w:type="dxa" w:w="50"/>
              <w:bottom w:type="dxa" w:w="24"/>
              <w:right w:type="dxa" w:w="50"/>
            </w:tcMar>
            <w:vAlign w:val="center"/>
          </w:tcPr>
          <w:p>
            <w:pPr>
              <w:spacing w:after="0"/>
              <w:jc w:val="center"/>
            </w:pPr>
            <w:r>
              <w:rPr>
                <w:rFonts w:ascii="Times New Roman" w:cs="Times New Roman" w:eastAsia="Times New Roman" w:hAnsi="Times New Roman"/>
                <w:b w:val="false"/>
                <w:bCs w:val="false"/>
                <w:sz w:val="14"/>
                <w:szCs w:val="14"/>
              </w:rPr>
              <w:t xml:space="preserve">0.73 ± 0.03</w:t>
            </w:r>
          </w:p>
        </w:tc>
        <w:tc>
          <w:tcPr>
            <w:tcW w:type="dxa" w:w="1255"/>
            <w:tcMar>
              <w:top w:type="dxa" w:w="24"/>
              <w:left w:type="dxa" w:w="50"/>
              <w:bottom w:type="dxa" w:w="24"/>
              <w:right w:type="dxa" w:w="50"/>
            </w:tcMar>
            <w:vAlign w:val="center"/>
          </w:tcPr>
          <w:p>
            <w:pPr>
              <w:spacing w:after="0"/>
              <w:jc w:val="center"/>
            </w:pPr>
            <w:r>
              <w:rPr>
                <w:rFonts w:ascii="Times New Roman" w:cs="Times New Roman" w:eastAsia="Times New Roman" w:hAnsi="Times New Roman"/>
                <w:b w:val="false"/>
                <w:bCs w:val="false"/>
                <w:sz w:val="14"/>
                <w:szCs w:val="14"/>
              </w:rPr>
              <w:t xml:space="preserve">0.034</w:t>
            </w:r>
          </w:p>
        </w:tc>
      </w:tr>
      <w:tr>
        <w:tc>
          <w:tcPr>
            <w:tcW w:type="dxa" w:w="2900"/>
            <w:tcMar>
              <w:top w:type="dxa" w:w="24"/>
              <w:left w:type="dxa" w:w="50"/>
              <w:bottom w:type="dxa" w:w="24"/>
              <w:right w:type="dxa" w:w="50"/>
            </w:tcMar>
            <w:vAlign w:val="center"/>
          </w:tcPr>
          <w:p>
            <w:pPr>
              <w:spacing w:after="0"/>
              <w:jc w:val="left"/>
            </w:pPr>
            <w:r>
              <w:rPr>
                <w:rFonts w:ascii="Times New Roman" w:cs="Times New Roman" w:eastAsia="Times New Roman" w:hAnsi="Times New Roman"/>
                <w:b w:val="false"/>
                <w:bCs w:val="false"/>
                <w:sz w:val="14"/>
                <w:szCs w:val="14"/>
              </w:rPr>
              <w:t xml:space="preserve">Logistic Regression†</w:t>
            </w:r>
          </w:p>
        </w:tc>
        <w:tc>
          <w:tcPr>
            <w:tcW w:type="dxa" w:w="1257"/>
            <w:tcMar>
              <w:top w:type="dxa" w:w="24"/>
              <w:left w:type="dxa" w:w="50"/>
              <w:bottom w:type="dxa" w:w="24"/>
              <w:right w:type="dxa" w:w="50"/>
            </w:tcMar>
            <w:vAlign w:val="center"/>
          </w:tcPr>
          <w:p>
            <w:pPr>
              <w:spacing w:after="0"/>
              <w:jc w:val="center"/>
            </w:pPr>
            <w:r>
              <w:rPr>
                <w:rFonts w:ascii="Times New Roman" w:cs="Times New Roman" w:eastAsia="Times New Roman" w:hAnsi="Times New Roman"/>
                <w:b w:val="false"/>
                <w:bCs w:val="false"/>
                <w:sz w:val="14"/>
                <w:szCs w:val="14"/>
              </w:rPr>
              <w:t xml:space="preserve">0.84 ± 0.05</w:t>
            </w:r>
          </w:p>
        </w:tc>
        <w:tc>
          <w:tcPr>
            <w:tcW w:type="dxa" w:w="1257"/>
            <w:tcMar>
              <w:top w:type="dxa" w:w="24"/>
              <w:left w:type="dxa" w:w="50"/>
              <w:bottom w:type="dxa" w:w="24"/>
              <w:right w:type="dxa" w:w="50"/>
            </w:tcMar>
            <w:vAlign w:val="center"/>
          </w:tcPr>
          <w:p>
            <w:pPr>
              <w:spacing w:after="0"/>
              <w:jc w:val="center"/>
            </w:pPr>
            <w:r>
              <w:rPr>
                <w:rFonts w:ascii="Times New Roman" w:cs="Times New Roman" w:eastAsia="Times New Roman" w:hAnsi="Times New Roman"/>
                <w:b w:val="false"/>
                <w:bCs w:val="false"/>
                <w:sz w:val="14"/>
                <w:szCs w:val="14"/>
              </w:rPr>
              <w:t xml:space="preserve">0.71 ± 0.08</w:t>
            </w:r>
          </w:p>
        </w:tc>
        <w:tc>
          <w:tcPr>
            <w:tcW w:type="dxa" w:w="1257"/>
            <w:tcMar>
              <w:top w:type="dxa" w:w="24"/>
              <w:left w:type="dxa" w:w="50"/>
              <w:bottom w:type="dxa" w:w="24"/>
              <w:right w:type="dxa" w:w="50"/>
            </w:tcMar>
            <w:vAlign w:val="center"/>
          </w:tcPr>
          <w:p>
            <w:pPr>
              <w:spacing w:after="0"/>
              <w:jc w:val="center"/>
            </w:pPr>
            <w:r>
              <w:rPr>
                <w:rFonts w:ascii="Times New Roman" w:cs="Times New Roman" w:eastAsia="Times New Roman" w:hAnsi="Times New Roman"/>
                <w:b w:val="false"/>
                <w:bCs w:val="false"/>
                <w:sz w:val="14"/>
                <w:szCs w:val="14"/>
              </w:rPr>
              <w:t xml:space="preserve">0.77 ± 0.03</w:t>
            </w:r>
          </w:p>
        </w:tc>
        <w:tc>
          <w:tcPr>
            <w:tcW w:type="dxa" w:w="1257"/>
            <w:tcMar>
              <w:top w:type="dxa" w:w="24"/>
              <w:left w:type="dxa" w:w="50"/>
              <w:bottom w:type="dxa" w:w="24"/>
              <w:right w:type="dxa" w:w="50"/>
            </w:tcMar>
            <w:vAlign w:val="center"/>
          </w:tcPr>
          <w:p>
            <w:pPr>
              <w:spacing w:after="0"/>
              <w:jc w:val="center"/>
            </w:pPr>
            <w:r>
              <w:rPr>
                <w:rFonts w:ascii="Times New Roman" w:cs="Times New Roman" w:eastAsia="Times New Roman" w:hAnsi="Times New Roman"/>
                <w:b w:val="false"/>
                <w:bCs w:val="false"/>
                <w:sz w:val="14"/>
                <w:szCs w:val="14"/>
              </w:rPr>
              <w:t xml:space="preserve">0.97 ± 0.01</w:t>
            </w:r>
          </w:p>
        </w:tc>
        <w:tc>
          <w:tcPr>
            <w:tcW w:type="dxa" w:w="1257"/>
            <w:tcMar>
              <w:top w:type="dxa" w:w="24"/>
              <w:left w:type="dxa" w:w="50"/>
              <w:bottom w:type="dxa" w:w="24"/>
              <w:right w:type="dxa" w:w="50"/>
            </w:tcMar>
            <w:vAlign w:val="center"/>
          </w:tcPr>
          <w:p>
            <w:pPr>
              <w:spacing w:after="0"/>
              <w:jc w:val="center"/>
            </w:pPr>
            <w:r>
              <w:rPr>
                <w:rFonts w:ascii="Times New Roman" w:cs="Times New Roman" w:eastAsia="Times New Roman" w:hAnsi="Times New Roman"/>
                <w:b w:val="false"/>
                <w:bCs w:val="false"/>
                <w:sz w:val="14"/>
                <w:szCs w:val="14"/>
              </w:rPr>
              <w:t xml:space="preserve">0.73 ± 0.03</w:t>
            </w:r>
          </w:p>
        </w:tc>
        <w:tc>
          <w:tcPr>
            <w:tcW w:type="dxa" w:w="1255"/>
            <w:tcMar>
              <w:top w:type="dxa" w:w="24"/>
              <w:left w:type="dxa" w:w="50"/>
              <w:bottom w:type="dxa" w:w="24"/>
              <w:right w:type="dxa" w:w="50"/>
            </w:tcMar>
            <w:vAlign w:val="center"/>
          </w:tcPr>
          <w:p>
            <w:pPr>
              <w:spacing w:after="0"/>
              <w:jc w:val="center"/>
            </w:pPr>
            <w:r>
              <w:rPr>
                <w:rFonts w:ascii="Times New Roman" w:cs="Times New Roman" w:eastAsia="Times New Roman" w:hAnsi="Times New Roman"/>
                <w:b w:val="false"/>
                <w:bCs w:val="false"/>
                <w:sz w:val="14"/>
                <w:szCs w:val="14"/>
              </w:rPr>
              <w:t xml:space="preserve">0.136</w:t>
            </w:r>
          </w:p>
        </w:tc>
      </w:tr>
      <w:tr>
        <w:tc>
          <w:tcPr>
            <w:tcW w:type="dxa" w:w="2900"/>
            <w:tcMar>
              <w:top w:type="dxa" w:w="24"/>
              <w:left w:type="dxa" w:w="50"/>
              <w:bottom w:type="dxa" w:w="24"/>
              <w:right w:type="dxa" w:w="50"/>
            </w:tcMar>
            <w:vAlign w:val="center"/>
          </w:tcPr>
          <w:p>
            <w:pPr>
              <w:spacing w:after="0"/>
              <w:jc w:val="left"/>
            </w:pPr>
            <w:r>
              <w:rPr>
                <w:rFonts w:ascii="Times New Roman" w:cs="Times New Roman" w:eastAsia="Times New Roman" w:hAnsi="Times New Roman"/>
                <w:b w:val="false"/>
                <w:bCs w:val="false"/>
                <w:sz w:val="14"/>
                <w:szCs w:val="14"/>
              </w:rPr>
              <w:t xml:space="preserve">CNN (centralized)†</w:t>
            </w:r>
          </w:p>
        </w:tc>
        <w:tc>
          <w:tcPr>
            <w:tcW w:type="dxa" w:w="1257"/>
            <w:tcMar>
              <w:top w:type="dxa" w:w="24"/>
              <w:left w:type="dxa" w:w="50"/>
              <w:bottom w:type="dxa" w:w="24"/>
              <w:right w:type="dxa" w:w="50"/>
            </w:tcMar>
            <w:vAlign w:val="center"/>
          </w:tcPr>
          <w:p>
            <w:pPr>
              <w:spacing w:after="0"/>
              <w:jc w:val="center"/>
            </w:pPr>
            <w:r>
              <w:rPr>
                <w:rFonts w:ascii="Times New Roman" w:cs="Times New Roman" w:eastAsia="Times New Roman" w:hAnsi="Times New Roman"/>
                <w:b w:val="false"/>
                <w:bCs w:val="false"/>
                <w:sz w:val="14"/>
                <w:szCs w:val="14"/>
              </w:rPr>
              <w:t xml:space="preserve">0.85 ± 0.05</w:t>
            </w:r>
          </w:p>
        </w:tc>
        <w:tc>
          <w:tcPr>
            <w:tcW w:type="dxa" w:w="1257"/>
            <w:tcMar>
              <w:top w:type="dxa" w:w="24"/>
              <w:left w:type="dxa" w:w="50"/>
              <w:bottom w:type="dxa" w:w="24"/>
              <w:right w:type="dxa" w:w="50"/>
            </w:tcMar>
            <w:vAlign w:val="center"/>
          </w:tcPr>
          <w:p>
            <w:pPr>
              <w:spacing w:after="0"/>
              <w:jc w:val="center"/>
            </w:pPr>
            <w:r>
              <w:rPr>
                <w:rFonts w:ascii="Times New Roman" w:cs="Times New Roman" w:eastAsia="Times New Roman" w:hAnsi="Times New Roman"/>
                <w:b w:val="false"/>
                <w:bCs w:val="false"/>
                <w:sz w:val="14"/>
                <w:szCs w:val="14"/>
              </w:rPr>
              <w:t xml:space="preserve">0.75 ± 0.09</w:t>
            </w:r>
          </w:p>
        </w:tc>
        <w:tc>
          <w:tcPr>
            <w:tcW w:type="dxa" w:w="1257"/>
            <w:tcMar>
              <w:top w:type="dxa" w:w="24"/>
              <w:left w:type="dxa" w:w="50"/>
              <w:bottom w:type="dxa" w:w="24"/>
              <w:right w:type="dxa" w:w="50"/>
            </w:tcMar>
            <w:vAlign w:val="center"/>
          </w:tcPr>
          <w:p>
            <w:pPr>
              <w:spacing w:after="0"/>
              <w:jc w:val="center"/>
            </w:pPr>
            <w:r>
              <w:rPr>
                <w:rFonts w:ascii="Times New Roman" w:cs="Times New Roman" w:eastAsia="Times New Roman" w:hAnsi="Times New Roman"/>
                <w:b w:val="false"/>
                <w:bCs w:val="false"/>
                <w:sz w:val="14"/>
                <w:szCs w:val="14"/>
              </w:rPr>
              <w:t xml:space="preserve">0.79 ± 0.04</w:t>
            </w:r>
          </w:p>
        </w:tc>
        <w:tc>
          <w:tcPr>
            <w:tcW w:type="dxa" w:w="1257"/>
            <w:tcMar>
              <w:top w:type="dxa" w:w="24"/>
              <w:left w:type="dxa" w:w="50"/>
              <w:bottom w:type="dxa" w:w="24"/>
              <w:right w:type="dxa" w:w="50"/>
            </w:tcMar>
            <w:vAlign w:val="center"/>
          </w:tcPr>
          <w:p>
            <w:pPr>
              <w:spacing w:after="0"/>
              <w:jc w:val="center"/>
            </w:pPr>
            <w:r>
              <w:rPr>
                <w:rFonts w:ascii="Times New Roman" w:cs="Times New Roman" w:eastAsia="Times New Roman" w:hAnsi="Times New Roman"/>
                <w:b w:val="false"/>
                <w:bCs w:val="false"/>
                <w:sz w:val="14"/>
                <w:szCs w:val="14"/>
              </w:rPr>
              <w:t xml:space="preserve">0.97 ± 0.01</w:t>
            </w:r>
          </w:p>
        </w:tc>
        <w:tc>
          <w:tcPr>
            <w:tcW w:type="dxa" w:w="1257"/>
            <w:tcMar>
              <w:top w:type="dxa" w:w="24"/>
              <w:left w:type="dxa" w:w="50"/>
              <w:bottom w:type="dxa" w:w="24"/>
              <w:right w:type="dxa" w:w="50"/>
            </w:tcMar>
            <w:vAlign w:val="center"/>
          </w:tcPr>
          <w:p>
            <w:pPr>
              <w:spacing w:after="0"/>
              <w:jc w:val="center"/>
            </w:pPr>
            <w:r>
              <w:rPr>
                <w:rFonts w:ascii="Times New Roman" w:cs="Times New Roman" w:eastAsia="Times New Roman" w:hAnsi="Times New Roman"/>
                <w:b w:val="false"/>
                <w:bCs w:val="false"/>
                <w:sz w:val="14"/>
                <w:szCs w:val="14"/>
              </w:rPr>
              <w:t xml:space="preserve">0.83 ± 0.03</w:t>
            </w:r>
          </w:p>
        </w:tc>
        <w:tc>
          <w:tcPr>
            <w:tcW w:type="dxa" w:w="1255"/>
            <w:tcMar>
              <w:top w:type="dxa" w:w="24"/>
              <w:left w:type="dxa" w:w="50"/>
              <w:bottom w:type="dxa" w:w="24"/>
              <w:right w:type="dxa" w:w="50"/>
            </w:tcMar>
            <w:vAlign w:val="center"/>
          </w:tcPr>
          <w:p>
            <w:pPr>
              <w:spacing w:after="0"/>
              <w:jc w:val="center"/>
            </w:pPr>
            <w:r>
              <w:rPr>
                <w:rFonts w:ascii="Times New Roman" w:cs="Times New Roman" w:eastAsia="Times New Roman" w:hAnsi="Times New Roman"/>
                <w:b w:val="false"/>
                <w:bCs w:val="false"/>
                <w:sz w:val="14"/>
                <w:szCs w:val="14"/>
              </w:rPr>
              <w:t xml:space="preserve">0.930</w:t>
            </w:r>
          </w:p>
        </w:tc>
      </w:tr>
      <w:tr>
        <w:tc>
          <w:tcPr>
            <w:tcW w:type="dxa" w:w="2900"/>
            <w:tcMar>
              <w:top w:type="dxa" w:w="24"/>
              <w:left w:type="dxa" w:w="50"/>
              <w:bottom w:type="dxa" w:w="24"/>
              <w:right w:type="dxa" w:w="50"/>
            </w:tcMar>
            <w:vAlign w:val="center"/>
          </w:tcPr>
          <w:p>
            <w:pPr>
              <w:spacing w:after="0"/>
              <w:jc w:val="left"/>
            </w:pPr>
            <w:r>
              <w:rPr>
                <w:rFonts w:ascii="Times New Roman" w:cs="Times New Roman" w:eastAsia="Times New Roman" w:hAnsi="Times New Roman"/>
                <w:b w:val="false"/>
                <w:bCs w:val="false"/>
                <w:sz w:val="14"/>
                <w:szCs w:val="14"/>
              </w:rPr>
              <w:t xml:space="preserve">FedAvg + DP</w:t>
            </w:r>
          </w:p>
        </w:tc>
        <w:tc>
          <w:tcPr>
            <w:tcW w:type="dxa" w:w="1257"/>
            <w:tcMar>
              <w:top w:type="dxa" w:w="24"/>
              <w:left w:type="dxa" w:w="50"/>
              <w:bottom w:type="dxa" w:w="24"/>
              <w:right w:type="dxa" w:w="50"/>
            </w:tcMar>
            <w:vAlign w:val="center"/>
          </w:tcPr>
          <w:p>
            <w:pPr>
              <w:spacing w:after="0"/>
              <w:jc w:val="center"/>
            </w:pPr>
            <w:r>
              <w:rPr>
                <w:rFonts w:ascii="Times New Roman" w:cs="Times New Roman" w:eastAsia="Times New Roman" w:hAnsi="Times New Roman"/>
                <w:b w:val="false"/>
                <w:bCs w:val="false"/>
                <w:sz w:val="14"/>
                <w:szCs w:val="14"/>
              </w:rPr>
              <w:t xml:space="preserve">0.85 ± 0.03</w:t>
            </w:r>
          </w:p>
        </w:tc>
        <w:tc>
          <w:tcPr>
            <w:tcW w:type="dxa" w:w="1257"/>
            <w:tcMar>
              <w:top w:type="dxa" w:w="24"/>
              <w:left w:type="dxa" w:w="50"/>
              <w:bottom w:type="dxa" w:w="24"/>
              <w:right w:type="dxa" w:w="50"/>
            </w:tcMar>
            <w:vAlign w:val="center"/>
          </w:tcPr>
          <w:p>
            <w:pPr>
              <w:spacing w:after="0"/>
              <w:jc w:val="center"/>
            </w:pPr>
            <w:r>
              <w:rPr>
                <w:rFonts w:ascii="Times New Roman" w:cs="Times New Roman" w:eastAsia="Times New Roman" w:hAnsi="Times New Roman"/>
                <w:b w:val="false"/>
                <w:bCs w:val="false"/>
                <w:sz w:val="14"/>
                <w:szCs w:val="14"/>
              </w:rPr>
              <w:t xml:space="preserve">0.75 ± 0.06</w:t>
            </w:r>
          </w:p>
        </w:tc>
        <w:tc>
          <w:tcPr>
            <w:tcW w:type="dxa" w:w="1257"/>
            <w:tcMar>
              <w:top w:type="dxa" w:w="24"/>
              <w:left w:type="dxa" w:w="50"/>
              <w:bottom w:type="dxa" w:w="24"/>
              <w:right w:type="dxa" w:w="50"/>
            </w:tcMar>
            <w:vAlign w:val="center"/>
          </w:tcPr>
          <w:p>
            <w:pPr>
              <w:spacing w:after="0"/>
              <w:jc w:val="center"/>
            </w:pPr>
            <w:r>
              <w:rPr>
                <w:rFonts w:ascii="Times New Roman" w:cs="Times New Roman" w:eastAsia="Times New Roman" w:hAnsi="Times New Roman"/>
                <w:b w:val="false"/>
                <w:bCs w:val="false"/>
                <w:sz w:val="14"/>
                <w:szCs w:val="14"/>
              </w:rPr>
              <w:t xml:space="preserve">0.79 ± 0.02</w:t>
            </w:r>
          </w:p>
        </w:tc>
        <w:tc>
          <w:tcPr>
            <w:tcW w:type="dxa" w:w="1257"/>
            <w:tcMar>
              <w:top w:type="dxa" w:w="24"/>
              <w:left w:type="dxa" w:w="50"/>
              <w:bottom w:type="dxa" w:w="24"/>
              <w:right w:type="dxa" w:w="50"/>
            </w:tcMar>
            <w:vAlign w:val="center"/>
          </w:tcPr>
          <w:p>
            <w:pPr>
              <w:spacing w:after="0"/>
              <w:jc w:val="center"/>
            </w:pPr>
            <w:r>
              <w:rPr>
                <w:rFonts w:ascii="Times New Roman" w:cs="Times New Roman" w:eastAsia="Times New Roman" w:hAnsi="Times New Roman"/>
                <w:b w:val="false"/>
                <w:bCs w:val="false"/>
                <w:sz w:val="14"/>
                <w:szCs w:val="14"/>
              </w:rPr>
              <w:t xml:space="preserve">0.97 ± 0.01</w:t>
            </w:r>
          </w:p>
        </w:tc>
        <w:tc>
          <w:tcPr>
            <w:tcW w:type="dxa" w:w="1257"/>
            <w:tcMar>
              <w:top w:type="dxa" w:w="24"/>
              <w:left w:type="dxa" w:w="50"/>
              <w:bottom w:type="dxa" w:w="24"/>
              <w:right w:type="dxa" w:w="50"/>
            </w:tcMar>
            <w:vAlign w:val="center"/>
          </w:tcPr>
          <w:p>
            <w:pPr>
              <w:spacing w:after="0"/>
              <w:jc w:val="center"/>
            </w:pPr>
            <w:r>
              <w:rPr>
                <w:rFonts w:ascii="Times New Roman" w:cs="Times New Roman" w:eastAsia="Times New Roman" w:hAnsi="Times New Roman"/>
                <w:b w:val="false"/>
                <w:bCs w:val="false"/>
                <w:sz w:val="14"/>
                <w:szCs w:val="14"/>
              </w:rPr>
              <w:t xml:space="preserve">0.73 ± 0.02</w:t>
            </w:r>
          </w:p>
        </w:tc>
        <w:tc>
          <w:tcPr>
            <w:tcW w:type="dxa" w:w="1255"/>
            <w:tcMar>
              <w:top w:type="dxa" w:w="24"/>
              <w:left w:type="dxa" w:w="50"/>
              <w:bottom w:type="dxa" w:w="24"/>
              <w:right w:type="dxa" w:w="50"/>
            </w:tcMar>
            <w:vAlign w:val="center"/>
          </w:tcPr>
          <w:p>
            <w:pPr>
              <w:spacing w:after="0"/>
              <w:jc w:val="center"/>
            </w:pPr>
            <w:r>
              <w:rPr>
                <w:rFonts w:ascii="Times New Roman" w:cs="Times New Roman" w:eastAsia="Times New Roman" w:hAnsi="Times New Roman"/>
                <w:b w:val="false"/>
                <w:bCs w:val="false"/>
                <w:sz w:val="14"/>
                <w:szCs w:val="14"/>
              </w:rPr>
              <w:t xml:space="preserve">—</w:t>
            </w:r>
          </w:p>
        </w:tc>
      </w:tr>
      <w:tr>
        <w:tc>
          <w:tcPr>
            <w:tcW w:type="dxa" w:w="2900"/>
            <w:tcMar>
              <w:top w:type="dxa" w:w="24"/>
              <w:left w:type="dxa" w:w="50"/>
              <w:bottom w:type="dxa" w:w="24"/>
              <w:right w:type="dxa" w:w="50"/>
            </w:tcMar>
            <w:vAlign w:val="center"/>
          </w:tcPr>
          <w:p>
            <w:pPr>
              <w:spacing w:after="0"/>
              <w:jc w:val="left"/>
            </w:pPr>
            <w:r>
              <w:rPr>
                <w:rFonts w:ascii="Times New Roman" w:cs="Times New Roman" w:eastAsia="Times New Roman" w:hAnsi="Times New Roman"/>
                <w:b w:val="false"/>
                <w:bCs w:val="false"/>
                <w:sz w:val="14"/>
                <w:szCs w:val="14"/>
              </w:rPr>
              <w:t xml:space="preserve">FedProx + DP</w:t>
            </w:r>
          </w:p>
        </w:tc>
        <w:tc>
          <w:tcPr>
            <w:tcW w:type="dxa" w:w="1257"/>
            <w:tcMar>
              <w:top w:type="dxa" w:w="24"/>
              <w:left w:type="dxa" w:w="50"/>
              <w:bottom w:type="dxa" w:w="24"/>
              <w:right w:type="dxa" w:w="50"/>
            </w:tcMar>
            <w:vAlign w:val="center"/>
          </w:tcPr>
          <w:p>
            <w:pPr>
              <w:spacing w:after="0"/>
              <w:jc w:val="center"/>
            </w:pPr>
            <w:r>
              <w:rPr>
                <w:rFonts w:ascii="Times New Roman" w:cs="Times New Roman" w:eastAsia="Times New Roman" w:hAnsi="Times New Roman"/>
                <w:b w:val="false"/>
                <w:bCs w:val="false"/>
                <w:sz w:val="14"/>
                <w:szCs w:val="14"/>
              </w:rPr>
              <w:t xml:space="preserve">0.85 ± 0.03</w:t>
            </w:r>
          </w:p>
        </w:tc>
        <w:tc>
          <w:tcPr>
            <w:tcW w:type="dxa" w:w="1257"/>
            <w:tcMar>
              <w:top w:type="dxa" w:w="24"/>
              <w:left w:type="dxa" w:w="50"/>
              <w:bottom w:type="dxa" w:w="24"/>
              <w:right w:type="dxa" w:w="50"/>
            </w:tcMar>
            <w:vAlign w:val="center"/>
          </w:tcPr>
          <w:p>
            <w:pPr>
              <w:spacing w:after="0"/>
              <w:jc w:val="center"/>
            </w:pPr>
            <w:r>
              <w:rPr>
                <w:rFonts w:ascii="Times New Roman" w:cs="Times New Roman" w:eastAsia="Times New Roman" w:hAnsi="Times New Roman"/>
                <w:b w:val="false"/>
                <w:bCs w:val="false"/>
                <w:sz w:val="14"/>
                <w:szCs w:val="14"/>
              </w:rPr>
              <w:t xml:space="preserve">0.76 ± 0.05</w:t>
            </w:r>
          </w:p>
        </w:tc>
        <w:tc>
          <w:tcPr>
            <w:tcW w:type="dxa" w:w="1257"/>
            <w:tcMar>
              <w:top w:type="dxa" w:w="24"/>
              <w:left w:type="dxa" w:w="50"/>
              <w:bottom w:type="dxa" w:w="24"/>
              <w:right w:type="dxa" w:w="50"/>
            </w:tcMar>
            <w:vAlign w:val="center"/>
          </w:tcPr>
          <w:p>
            <w:pPr>
              <w:spacing w:after="0"/>
              <w:jc w:val="center"/>
            </w:pPr>
            <w:r>
              <w:rPr>
                <w:rFonts w:ascii="Times New Roman" w:cs="Times New Roman" w:eastAsia="Times New Roman" w:hAnsi="Times New Roman"/>
                <w:b w:val="false"/>
                <w:bCs w:val="false"/>
                <w:sz w:val="14"/>
                <w:szCs w:val="14"/>
              </w:rPr>
              <w:t xml:space="preserve">0.80 ± 0.01</w:t>
            </w:r>
          </w:p>
        </w:tc>
        <w:tc>
          <w:tcPr>
            <w:tcW w:type="dxa" w:w="1257"/>
            <w:tcMar>
              <w:top w:type="dxa" w:w="24"/>
              <w:left w:type="dxa" w:w="50"/>
              <w:bottom w:type="dxa" w:w="24"/>
              <w:right w:type="dxa" w:w="50"/>
            </w:tcMar>
            <w:vAlign w:val="center"/>
          </w:tcPr>
          <w:p>
            <w:pPr>
              <w:spacing w:after="0"/>
              <w:jc w:val="center"/>
            </w:pPr>
            <w:r>
              <w:rPr>
                <w:rFonts w:ascii="Times New Roman" w:cs="Times New Roman" w:eastAsia="Times New Roman" w:hAnsi="Times New Roman"/>
                <w:b w:val="false"/>
                <w:bCs w:val="false"/>
                <w:sz w:val="14"/>
                <w:szCs w:val="14"/>
              </w:rPr>
              <w:t xml:space="preserve">0.97 ± 0.01</w:t>
            </w:r>
          </w:p>
        </w:tc>
        <w:tc>
          <w:tcPr>
            <w:tcW w:type="dxa" w:w="1257"/>
            <w:tcMar>
              <w:top w:type="dxa" w:w="24"/>
              <w:left w:type="dxa" w:w="50"/>
              <w:bottom w:type="dxa" w:w="24"/>
              <w:right w:type="dxa" w:w="50"/>
            </w:tcMar>
            <w:vAlign w:val="center"/>
          </w:tcPr>
          <w:p>
            <w:pPr>
              <w:spacing w:after="0"/>
              <w:jc w:val="center"/>
            </w:pPr>
            <w:r>
              <w:rPr>
                <w:rFonts w:ascii="Times New Roman" w:cs="Times New Roman" w:eastAsia="Times New Roman" w:hAnsi="Times New Roman"/>
                <w:b w:val="false"/>
                <w:bCs w:val="false"/>
                <w:sz w:val="14"/>
                <w:szCs w:val="14"/>
              </w:rPr>
              <w:t xml:space="preserve">0.73 ± 0.02</w:t>
            </w:r>
          </w:p>
        </w:tc>
        <w:tc>
          <w:tcPr>
            <w:tcW w:type="dxa" w:w="1255"/>
            <w:tcMar>
              <w:top w:type="dxa" w:w="24"/>
              <w:left w:type="dxa" w:w="50"/>
              <w:bottom w:type="dxa" w:w="24"/>
              <w:right w:type="dxa" w:w="50"/>
            </w:tcMar>
            <w:vAlign w:val="center"/>
          </w:tcPr>
          <w:p>
            <w:pPr>
              <w:spacing w:after="0"/>
              <w:jc w:val="center"/>
            </w:pPr>
            <w:r>
              <w:rPr>
                <w:rFonts w:ascii="Times New Roman" w:cs="Times New Roman" w:eastAsia="Times New Roman" w:hAnsi="Times New Roman"/>
                <w:b w:val="false"/>
                <w:bCs w:val="false"/>
                <w:sz w:val="14"/>
                <w:szCs w:val="14"/>
              </w:rPr>
              <w:t xml:space="preserve">0.423</w:t>
            </w:r>
          </w:p>
        </w:tc>
      </w:tr>
    </w:tbl>
    <w:p>
      <w:pPr>
        <w:spacing w:after="200" w:before="60"/>
      </w:pPr>
      <w:r>
        <w:rPr>
          <w:rFonts w:ascii="Times New Roman" w:cs="Times New Roman" w:eastAsia="Times New Roman" w:hAnsi="Times New Roman"/>
          <w:i/>
          <w:iCs/>
          <w:sz w:val="15"/>
          <w:szCs w:val="15"/>
        </w:rPr>
        <w:t xml:space="preserve">† No privacy guarantee (raw data pooled or privacy ignored) — utility upper bound, not a competing system. FedProx at matched ε is the like-for-like federated comparison.</w:t>
      </w:r>
    </w:p>
    <w:p>
      <w:pPr>
        <w:spacing w:after="90" w:line="232"/>
        <w:ind w:firstLine="200"/>
        <w:jc w:val="both"/>
      </w:pPr>
      <w:r>
        <w:rPr>
          <w:rFonts w:ascii="Times New Roman" w:cs="Times New Roman" w:eastAsia="Times New Roman" w:hAnsi="Times New Roman"/>
          <w:sz w:val="20"/>
          <w:szCs w:val="20"/>
        </w:rPr>
        <w:t xml:space="preserve">Table II reports per-bank privacy calibration. Bank sizes are markedly skewed (Bank 3 holds 218,467 of roughly 264,000 rows, about 83% of the federation's data), and smaller banks (Bank 0, 2,212 samples) require a larger noise multiplier for the same target ε. Bank 1's realized ε (3.014) lands slightly above the 3.0 target: σ is solved via Opacus's bounded search over its RDP accountant, which has a small tolerance and can settle marginally above or below the exact target rather than hitting it precisely — an expected artifact of the calibration procedure, not a violation of the accounting.</w:t>
      </w:r>
    </w:p>
    <w:p>
      <w:pPr>
        <w:spacing w:after="90"/>
        <w:jc w:val="center"/>
      </w:pPr>
      <w:r>
        <w:rPr>
          <w:rFonts w:ascii="Times New Roman" w:cs="Times New Roman" w:eastAsia="Times New Roman" w:hAnsi="Times New Roman"/>
          <w:b/>
          <w:bCs/>
          <w:sz w:val="17"/>
          <w:szCs w:val="17"/>
        </w:rPr>
        <w:t xml:space="preserve">TABLE II: PER-BANK DIFFERENTIAL PRIVACY CALIBRATION</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00"/>
        <w:gridCol w:w="1400"/>
        <w:gridCol w:w="1400"/>
        <w:gridCol w:w="1400"/>
        <w:gridCol w:w="1500"/>
        <w:gridCol w:w="1500"/>
        <w:gridCol w:w="2240"/>
      </w:tblGrid>
      <w:tr>
        <w:trPr>
          <w:tblHeader/>
        </w:trPr>
        <w:tc>
          <w:tcPr>
            <w:tcW w:type="dxa" w:w="1000"/>
            <w:shd w:fill="D9D9D9" w:val="clear"/>
            <w:tcMar>
              <w:top w:type="dxa" w:w="24"/>
              <w:left w:type="dxa" w:w="50"/>
              <w:bottom w:type="dxa" w:w="24"/>
              <w:right w:type="dxa" w:w="50"/>
            </w:tcMar>
            <w:vAlign w:val="center"/>
          </w:tcPr>
          <w:p>
            <w:pPr>
              <w:spacing w:after="0"/>
              <w:jc w:val="center"/>
            </w:pPr>
            <w:r>
              <w:rPr>
                <w:rFonts w:ascii="Times New Roman" w:cs="Times New Roman" w:eastAsia="Times New Roman" w:hAnsi="Times New Roman"/>
                <w:b/>
                <w:bCs/>
                <w:sz w:val="14"/>
                <w:szCs w:val="14"/>
              </w:rPr>
              <w:t xml:space="preserve">Bank</w:t>
            </w:r>
          </w:p>
        </w:tc>
        <w:tc>
          <w:tcPr>
            <w:tcW w:type="dxa" w:w="1400"/>
            <w:shd w:fill="D9D9D9" w:val="clear"/>
            <w:tcMar>
              <w:top w:type="dxa" w:w="24"/>
              <w:left w:type="dxa" w:w="50"/>
              <w:bottom w:type="dxa" w:w="24"/>
              <w:right w:type="dxa" w:w="50"/>
            </w:tcMar>
            <w:vAlign w:val="center"/>
          </w:tcPr>
          <w:p>
            <w:pPr>
              <w:spacing w:after="0"/>
              <w:jc w:val="center"/>
            </w:pPr>
            <w:r>
              <w:rPr>
                <w:rFonts w:ascii="Times New Roman" w:cs="Times New Roman" w:eastAsia="Times New Roman" w:hAnsi="Times New Roman"/>
                <w:b/>
                <w:bCs/>
                <w:sz w:val="14"/>
                <w:szCs w:val="14"/>
              </w:rPr>
              <w:t xml:space="preserve">n_k</w:t>
            </w:r>
          </w:p>
        </w:tc>
        <w:tc>
          <w:tcPr>
            <w:tcW w:type="dxa" w:w="1400"/>
            <w:shd w:fill="D9D9D9" w:val="clear"/>
            <w:tcMar>
              <w:top w:type="dxa" w:w="24"/>
              <w:left w:type="dxa" w:w="50"/>
              <w:bottom w:type="dxa" w:w="24"/>
              <w:right w:type="dxa" w:w="50"/>
            </w:tcMar>
            <w:vAlign w:val="center"/>
          </w:tcPr>
          <w:p>
            <w:pPr>
              <w:spacing w:after="0"/>
              <w:jc w:val="center"/>
            </w:pPr>
            <w:r>
              <w:rPr>
                <w:rFonts w:ascii="Times New Roman" w:cs="Times New Roman" w:eastAsia="Times New Roman" w:hAnsi="Times New Roman"/>
                <w:b/>
                <w:bCs/>
                <w:sz w:val="14"/>
                <w:szCs w:val="14"/>
              </w:rPr>
              <w:t xml:space="preserve">q_k</w:t>
            </w:r>
          </w:p>
        </w:tc>
        <w:tc>
          <w:tcPr>
            <w:tcW w:type="dxa" w:w="1400"/>
            <w:shd w:fill="D9D9D9" w:val="clear"/>
            <w:tcMar>
              <w:top w:type="dxa" w:w="24"/>
              <w:left w:type="dxa" w:w="50"/>
              <w:bottom w:type="dxa" w:w="24"/>
              <w:right w:type="dxa" w:w="50"/>
            </w:tcMar>
            <w:vAlign w:val="center"/>
          </w:tcPr>
          <w:p>
            <w:pPr>
              <w:spacing w:after="0"/>
              <w:jc w:val="center"/>
            </w:pPr>
            <w:r>
              <w:rPr>
                <w:rFonts w:ascii="Times New Roman" w:cs="Times New Roman" w:eastAsia="Times New Roman" w:hAnsi="Times New Roman"/>
                <w:b/>
                <w:bCs/>
                <w:sz w:val="14"/>
                <w:szCs w:val="14"/>
              </w:rPr>
              <w:t xml:space="preserve">Steps</w:t>
            </w:r>
          </w:p>
        </w:tc>
        <w:tc>
          <w:tcPr>
            <w:tcW w:type="dxa" w:w="1500"/>
            <w:shd w:fill="D9D9D9" w:val="clear"/>
            <w:tcMar>
              <w:top w:type="dxa" w:w="24"/>
              <w:left w:type="dxa" w:w="50"/>
              <w:bottom w:type="dxa" w:w="24"/>
              <w:right w:type="dxa" w:w="50"/>
            </w:tcMar>
            <w:vAlign w:val="center"/>
          </w:tcPr>
          <w:p>
            <w:pPr>
              <w:spacing w:after="0"/>
              <w:jc w:val="center"/>
            </w:pPr>
            <w:r>
              <w:rPr>
                <w:rFonts w:ascii="Times New Roman" w:cs="Times New Roman" w:eastAsia="Times New Roman" w:hAnsi="Times New Roman"/>
                <w:b/>
                <w:bCs/>
                <w:sz w:val="14"/>
                <w:szCs w:val="14"/>
              </w:rPr>
              <w:t xml:space="preserve">σ_k</w:t>
            </w:r>
          </w:p>
        </w:tc>
        <w:tc>
          <w:tcPr>
            <w:tcW w:type="dxa" w:w="1500"/>
            <w:shd w:fill="D9D9D9" w:val="clear"/>
            <w:tcMar>
              <w:top w:type="dxa" w:w="24"/>
              <w:left w:type="dxa" w:w="50"/>
              <w:bottom w:type="dxa" w:w="24"/>
              <w:right w:type="dxa" w:w="50"/>
            </w:tcMar>
            <w:vAlign w:val="center"/>
          </w:tcPr>
          <w:p>
            <w:pPr>
              <w:spacing w:after="0"/>
              <w:jc w:val="center"/>
            </w:pPr>
            <w:r>
              <w:rPr>
                <w:rFonts w:ascii="Times New Roman" w:cs="Times New Roman" w:eastAsia="Times New Roman" w:hAnsi="Times New Roman"/>
                <w:b/>
                <w:bCs/>
                <w:sz w:val="14"/>
                <w:szCs w:val="14"/>
              </w:rPr>
              <w:t xml:space="preserve">δ_k</w:t>
            </w:r>
          </w:p>
        </w:tc>
        <w:tc>
          <w:tcPr>
            <w:tcW w:type="dxa" w:w="2240"/>
            <w:shd w:fill="D9D9D9" w:val="clear"/>
            <w:tcMar>
              <w:top w:type="dxa" w:w="24"/>
              <w:left w:type="dxa" w:w="50"/>
              <w:bottom w:type="dxa" w:w="24"/>
              <w:right w:type="dxa" w:w="50"/>
            </w:tcMar>
            <w:vAlign w:val="center"/>
          </w:tcPr>
          <w:p>
            <w:pPr>
              <w:spacing w:after="0"/>
              <w:jc w:val="center"/>
            </w:pPr>
            <w:r>
              <w:rPr>
                <w:rFonts w:ascii="Times New Roman" w:cs="Times New Roman" w:eastAsia="Times New Roman" w:hAnsi="Times New Roman"/>
                <w:b/>
                <w:bCs/>
                <w:sz w:val="14"/>
                <w:szCs w:val="14"/>
              </w:rPr>
              <w:t xml:space="preserve">ε spent</w:t>
            </w:r>
          </w:p>
        </w:tc>
      </w:tr>
      <w:tr>
        <w:tc>
          <w:tcPr>
            <w:tcW w:type="dxa" w:w="1000"/>
            <w:tcMar>
              <w:top w:type="dxa" w:w="24"/>
              <w:left w:type="dxa" w:w="50"/>
              <w:bottom w:type="dxa" w:w="24"/>
              <w:right w:type="dxa" w:w="50"/>
            </w:tcMar>
            <w:vAlign w:val="center"/>
          </w:tcPr>
          <w:p>
            <w:pPr>
              <w:spacing w:after="0"/>
              <w:jc w:val="left"/>
            </w:pPr>
            <w:r>
              <w:rPr>
                <w:rFonts w:ascii="Times New Roman" w:cs="Times New Roman" w:eastAsia="Times New Roman" w:hAnsi="Times New Roman"/>
                <w:b w:val="false"/>
                <w:bCs w:val="false"/>
                <w:sz w:val="14"/>
                <w:szCs w:val="14"/>
              </w:rPr>
              <w:t xml:space="preserve">0</w:t>
            </w:r>
          </w:p>
        </w:tc>
        <w:tc>
          <w:tcPr>
            <w:tcW w:type="dxa" w:w="1400"/>
            <w:tcMar>
              <w:top w:type="dxa" w:w="24"/>
              <w:left w:type="dxa" w:w="50"/>
              <w:bottom w:type="dxa" w:w="24"/>
              <w:right w:type="dxa" w:w="50"/>
            </w:tcMar>
            <w:vAlign w:val="center"/>
          </w:tcPr>
          <w:p>
            <w:pPr>
              <w:spacing w:after="0"/>
              <w:jc w:val="center"/>
            </w:pPr>
            <w:r>
              <w:rPr>
                <w:rFonts w:ascii="Times New Roman" w:cs="Times New Roman" w:eastAsia="Times New Roman" w:hAnsi="Times New Roman"/>
                <w:b w:val="false"/>
                <w:bCs w:val="false"/>
                <w:sz w:val="14"/>
                <w:szCs w:val="14"/>
              </w:rPr>
              <w:t xml:space="preserve">2,212</w:t>
            </w:r>
          </w:p>
        </w:tc>
        <w:tc>
          <w:tcPr>
            <w:tcW w:type="dxa" w:w="1400"/>
            <w:tcMar>
              <w:top w:type="dxa" w:w="24"/>
              <w:left w:type="dxa" w:w="50"/>
              <w:bottom w:type="dxa" w:w="24"/>
              <w:right w:type="dxa" w:w="50"/>
            </w:tcMar>
            <w:vAlign w:val="center"/>
          </w:tcPr>
          <w:p>
            <w:pPr>
              <w:spacing w:after="0"/>
              <w:jc w:val="center"/>
            </w:pPr>
            <w:r>
              <w:rPr>
                <w:rFonts w:ascii="Times New Roman" w:cs="Times New Roman" w:eastAsia="Times New Roman" w:hAnsi="Times New Roman"/>
                <w:b w:val="false"/>
                <w:bCs w:val="false"/>
                <w:sz w:val="14"/>
                <w:szCs w:val="14"/>
              </w:rPr>
              <w:t xml:space="preserve">0.11573</w:t>
            </w:r>
          </w:p>
        </w:tc>
        <w:tc>
          <w:tcPr>
            <w:tcW w:type="dxa" w:w="1400"/>
            <w:tcMar>
              <w:top w:type="dxa" w:w="24"/>
              <w:left w:type="dxa" w:w="50"/>
              <w:bottom w:type="dxa" w:w="24"/>
              <w:right w:type="dxa" w:w="50"/>
            </w:tcMar>
            <w:vAlign w:val="center"/>
          </w:tcPr>
          <w:p>
            <w:pPr>
              <w:spacing w:after="0"/>
              <w:jc w:val="center"/>
            </w:pPr>
            <w:r>
              <w:rPr>
                <w:rFonts w:ascii="Times New Roman" w:cs="Times New Roman" w:eastAsia="Times New Roman" w:hAnsi="Times New Roman"/>
                <w:b w:val="false"/>
                <w:bCs w:val="false"/>
                <w:sz w:val="14"/>
                <w:szCs w:val="14"/>
              </w:rPr>
              <w:t xml:space="preserve">270</w:t>
            </w:r>
          </w:p>
        </w:tc>
        <w:tc>
          <w:tcPr>
            <w:tcW w:type="dxa" w:w="1500"/>
            <w:tcMar>
              <w:top w:type="dxa" w:w="24"/>
              <w:left w:type="dxa" w:w="50"/>
              <w:bottom w:type="dxa" w:w="24"/>
              <w:right w:type="dxa" w:w="50"/>
            </w:tcMar>
            <w:vAlign w:val="center"/>
          </w:tcPr>
          <w:p>
            <w:pPr>
              <w:spacing w:after="0"/>
              <w:jc w:val="center"/>
            </w:pPr>
            <w:r>
              <w:rPr>
                <w:rFonts w:ascii="Times New Roman" w:cs="Times New Roman" w:eastAsia="Times New Roman" w:hAnsi="Times New Roman"/>
                <w:b w:val="false"/>
                <w:bCs w:val="false"/>
                <w:sz w:val="14"/>
                <w:szCs w:val="14"/>
              </w:rPr>
              <w:t xml:space="preserve">3.0273</w:t>
            </w:r>
          </w:p>
        </w:tc>
        <w:tc>
          <w:tcPr>
            <w:tcW w:type="dxa" w:w="1500"/>
            <w:tcMar>
              <w:top w:type="dxa" w:w="24"/>
              <w:left w:type="dxa" w:w="50"/>
              <w:bottom w:type="dxa" w:w="24"/>
              <w:right w:type="dxa" w:w="50"/>
            </w:tcMar>
            <w:vAlign w:val="center"/>
          </w:tcPr>
          <w:p>
            <w:pPr>
              <w:spacing w:after="0"/>
              <w:jc w:val="center"/>
            </w:pPr>
            <w:r>
              <w:rPr>
                <w:rFonts w:ascii="Times New Roman" w:cs="Times New Roman" w:eastAsia="Times New Roman" w:hAnsi="Times New Roman"/>
                <w:b w:val="false"/>
                <w:bCs w:val="false"/>
                <w:sz w:val="14"/>
                <w:szCs w:val="14"/>
              </w:rPr>
              <w:t xml:space="preserve">1.0e-05</w:t>
            </w:r>
          </w:p>
        </w:tc>
        <w:tc>
          <w:tcPr>
            <w:tcW w:type="dxa" w:w="2240"/>
            <w:tcMar>
              <w:top w:type="dxa" w:w="24"/>
              <w:left w:type="dxa" w:w="50"/>
              <w:bottom w:type="dxa" w:w="24"/>
              <w:right w:type="dxa" w:w="50"/>
            </w:tcMar>
            <w:vAlign w:val="center"/>
          </w:tcPr>
          <w:p>
            <w:pPr>
              <w:spacing w:after="0"/>
              <w:jc w:val="center"/>
            </w:pPr>
            <w:r>
              <w:rPr>
                <w:rFonts w:ascii="Times New Roman" w:cs="Times New Roman" w:eastAsia="Times New Roman" w:hAnsi="Times New Roman"/>
                <w:b w:val="false"/>
                <w:bCs w:val="false"/>
                <w:sz w:val="14"/>
                <w:szCs w:val="14"/>
              </w:rPr>
              <w:t xml:space="preserve">2.859</w:t>
            </w:r>
          </w:p>
        </w:tc>
      </w:tr>
      <w:tr>
        <w:tc>
          <w:tcPr>
            <w:tcW w:type="dxa" w:w="1000"/>
            <w:tcMar>
              <w:top w:type="dxa" w:w="24"/>
              <w:left w:type="dxa" w:w="50"/>
              <w:bottom w:type="dxa" w:w="24"/>
              <w:right w:type="dxa" w:w="50"/>
            </w:tcMar>
            <w:vAlign w:val="center"/>
          </w:tcPr>
          <w:p>
            <w:pPr>
              <w:spacing w:after="0"/>
              <w:jc w:val="left"/>
            </w:pPr>
            <w:r>
              <w:rPr>
                <w:rFonts w:ascii="Times New Roman" w:cs="Times New Roman" w:eastAsia="Times New Roman" w:hAnsi="Times New Roman"/>
                <w:b w:val="false"/>
                <w:bCs w:val="false"/>
                <w:sz w:val="14"/>
                <w:szCs w:val="14"/>
              </w:rPr>
              <w:t xml:space="preserve">1</w:t>
            </w:r>
          </w:p>
        </w:tc>
        <w:tc>
          <w:tcPr>
            <w:tcW w:type="dxa" w:w="1400"/>
            <w:tcMar>
              <w:top w:type="dxa" w:w="24"/>
              <w:left w:type="dxa" w:w="50"/>
              <w:bottom w:type="dxa" w:w="24"/>
              <w:right w:type="dxa" w:w="50"/>
            </w:tcMar>
            <w:vAlign w:val="center"/>
          </w:tcPr>
          <w:p>
            <w:pPr>
              <w:spacing w:after="0"/>
              <w:jc w:val="center"/>
            </w:pPr>
            <w:r>
              <w:rPr>
                <w:rFonts w:ascii="Times New Roman" w:cs="Times New Roman" w:eastAsia="Times New Roman" w:hAnsi="Times New Roman"/>
                <w:b w:val="false"/>
                <w:bCs w:val="false"/>
                <w:sz w:val="14"/>
                <w:szCs w:val="14"/>
              </w:rPr>
              <w:t xml:space="preserve">23,789</w:t>
            </w:r>
          </w:p>
        </w:tc>
        <w:tc>
          <w:tcPr>
            <w:tcW w:type="dxa" w:w="1400"/>
            <w:tcMar>
              <w:top w:type="dxa" w:w="24"/>
              <w:left w:type="dxa" w:w="50"/>
              <w:bottom w:type="dxa" w:w="24"/>
              <w:right w:type="dxa" w:w="50"/>
            </w:tcMar>
            <w:vAlign w:val="center"/>
          </w:tcPr>
          <w:p>
            <w:pPr>
              <w:spacing w:after="0"/>
              <w:jc w:val="center"/>
            </w:pPr>
            <w:r>
              <w:rPr>
                <w:rFonts w:ascii="Times New Roman" w:cs="Times New Roman" w:eastAsia="Times New Roman" w:hAnsi="Times New Roman"/>
                <w:b w:val="false"/>
                <w:bCs w:val="false"/>
                <w:sz w:val="14"/>
                <w:szCs w:val="14"/>
              </w:rPr>
              <w:t xml:space="preserve">0.01076</w:t>
            </w:r>
          </w:p>
        </w:tc>
        <w:tc>
          <w:tcPr>
            <w:tcW w:type="dxa" w:w="1400"/>
            <w:tcMar>
              <w:top w:type="dxa" w:w="24"/>
              <w:left w:type="dxa" w:w="50"/>
              <w:bottom w:type="dxa" w:w="24"/>
              <w:right w:type="dxa" w:w="50"/>
            </w:tcMar>
            <w:vAlign w:val="center"/>
          </w:tcPr>
          <w:p>
            <w:pPr>
              <w:spacing w:after="0"/>
              <w:jc w:val="center"/>
            </w:pPr>
            <w:r>
              <w:rPr>
                <w:rFonts w:ascii="Times New Roman" w:cs="Times New Roman" w:eastAsia="Times New Roman" w:hAnsi="Times New Roman"/>
                <w:b w:val="false"/>
                <w:bCs w:val="false"/>
                <w:sz w:val="14"/>
                <w:szCs w:val="14"/>
              </w:rPr>
              <w:t xml:space="preserve">2790</w:t>
            </w:r>
          </w:p>
        </w:tc>
        <w:tc>
          <w:tcPr>
            <w:tcW w:type="dxa" w:w="1500"/>
            <w:tcMar>
              <w:top w:type="dxa" w:w="24"/>
              <w:left w:type="dxa" w:w="50"/>
              <w:bottom w:type="dxa" w:w="24"/>
              <w:right w:type="dxa" w:w="50"/>
            </w:tcMar>
            <w:vAlign w:val="center"/>
          </w:tcPr>
          <w:p>
            <w:pPr>
              <w:spacing w:after="0"/>
              <w:jc w:val="center"/>
            </w:pPr>
            <w:r>
              <w:rPr>
                <w:rFonts w:ascii="Times New Roman" w:cs="Times New Roman" w:eastAsia="Times New Roman" w:hAnsi="Times New Roman"/>
                <w:b w:val="false"/>
                <w:bCs w:val="false"/>
                <w:sz w:val="14"/>
                <w:szCs w:val="14"/>
              </w:rPr>
              <w:t xml:space="preserve">1.1133</w:t>
            </w:r>
          </w:p>
        </w:tc>
        <w:tc>
          <w:tcPr>
            <w:tcW w:type="dxa" w:w="1500"/>
            <w:tcMar>
              <w:top w:type="dxa" w:w="24"/>
              <w:left w:type="dxa" w:w="50"/>
              <w:bottom w:type="dxa" w:w="24"/>
              <w:right w:type="dxa" w:w="50"/>
            </w:tcMar>
            <w:vAlign w:val="center"/>
          </w:tcPr>
          <w:p>
            <w:pPr>
              <w:spacing w:after="0"/>
              <w:jc w:val="center"/>
            </w:pPr>
            <w:r>
              <w:rPr>
                <w:rFonts w:ascii="Times New Roman" w:cs="Times New Roman" w:eastAsia="Times New Roman" w:hAnsi="Times New Roman"/>
                <w:b w:val="false"/>
                <w:bCs w:val="false"/>
                <w:sz w:val="14"/>
                <w:szCs w:val="14"/>
              </w:rPr>
              <w:t xml:space="preserve">1.0e-05</w:t>
            </w:r>
          </w:p>
        </w:tc>
        <w:tc>
          <w:tcPr>
            <w:tcW w:type="dxa" w:w="2240"/>
            <w:tcMar>
              <w:top w:type="dxa" w:w="24"/>
              <w:left w:type="dxa" w:w="50"/>
              <w:bottom w:type="dxa" w:w="24"/>
              <w:right w:type="dxa" w:w="50"/>
            </w:tcMar>
            <w:vAlign w:val="center"/>
          </w:tcPr>
          <w:p>
            <w:pPr>
              <w:spacing w:after="0"/>
              <w:jc w:val="center"/>
            </w:pPr>
            <w:r>
              <w:rPr>
                <w:rFonts w:ascii="Times New Roman" w:cs="Times New Roman" w:eastAsia="Times New Roman" w:hAnsi="Times New Roman"/>
                <w:b w:val="false"/>
                <w:bCs w:val="false"/>
                <w:sz w:val="14"/>
                <w:szCs w:val="14"/>
              </w:rPr>
              <w:t xml:space="preserve">3.014</w:t>
            </w:r>
          </w:p>
        </w:tc>
      </w:tr>
      <w:tr>
        <w:tc>
          <w:tcPr>
            <w:tcW w:type="dxa" w:w="1000"/>
            <w:tcMar>
              <w:top w:type="dxa" w:w="24"/>
              <w:left w:type="dxa" w:w="50"/>
              <w:bottom w:type="dxa" w:w="24"/>
              <w:right w:type="dxa" w:w="50"/>
            </w:tcMar>
            <w:vAlign w:val="center"/>
          </w:tcPr>
          <w:p>
            <w:pPr>
              <w:spacing w:after="0"/>
              <w:jc w:val="left"/>
            </w:pPr>
            <w:r>
              <w:rPr>
                <w:rFonts w:ascii="Times New Roman" w:cs="Times New Roman" w:eastAsia="Times New Roman" w:hAnsi="Times New Roman"/>
                <w:b w:val="false"/>
                <w:bCs w:val="false"/>
                <w:sz w:val="14"/>
                <w:szCs w:val="14"/>
              </w:rPr>
              <w:t xml:space="preserve">2</w:t>
            </w:r>
          </w:p>
        </w:tc>
        <w:tc>
          <w:tcPr>
            <w:tcW w:type="dxa" w:w="1400"/>
            <w:tcMar>
              <w:top w:type="dxa" w:w="24"/>
              <w:left w:type="dxa" w:w="50"/>
              <w:bottom w:type="dxa" w:w="24"/>
              <w:right w:type="dxa" w:w="50"/>
            </w:tcMar>
            <w:vAlign w:val="center"/>
          </w:tcPr>
          <w:p>
            <w:pPr>
              <w:spacing w:after="0"/>
              <w:jc w:val="center"/>
            </w:pPr>
            <w:r>
              <w:rPr>
                <w:rFonts w:ascii="Times New Roman" w:cs="Times New Roman" w:eastAsia="Times New Roman" w:hAnsi="Times New Roman"/>
                <w:b w:val="false"/>
                <w:bCs w:val="false"/>
                <w:sz w:val="14"/>
                <w:szCs w:val="14"/>
              </w:rPr>
              <w:t xml:space="preserve">13,956</w:t>
            </w:r>
          </w:p>
        </w:tc>
        <w:tc>
          <w:tcPr>
            <w:tcW w:type="dxa" w:w="1400"/>
            <w:tcMar>
              <w:top w:type="dxa" w:w="24"/>
              <w:left w:type="dxa" w:w="50"/>
              <w:bottom w:type="dxa" w:w="24"/>
              <w:right w:type="dxa" w:w="50"/>
            </w:tcMar>
            <w:vAlign w:val="center"/>
          </w:tcPr>
          <w:p>
            <w:pPr>
              <w:spacing w:after="0"/>
              <w:jc w:val="center"/>
            </w:pPr>
            <w:r>
              <w:rPr>
                <w:rFonts w:ascii="Times New Roman" w:cs="Times New Roman" w:eastAsia="Times New Roman" w:hAnsi="Times New Roman"/>
                <w:b w:val="false"/>
                <w:bCs w:val="false"/>
                <w:sz w:val="14"/>
                <w:szCs w:val="14"/>
              </w:rPr>
              <w:t xml:space="preserve">0.01834</w:t>
            </w:r>
          </w:p>
        </w:tc>
        <w:tc>
          <w:tcPr>
            <w:tcW w:type="dxa" w:w="1400"/>
            <w:tcMar>
              <w:top w:type="dxa" w:w="24"/>
              <w:left w:type="dxa" w:w="50"/>
              <w:bottom w:type="dxa" w:w="24"/>
              <w:right w:type="dxa" w:w="50"/>
            </w:tcMar>
            <w:vAlign w:val="center"/>
          </w:tcPr>
          <w:p>
            <w:pPr>
              <w:spacing w:after="0"/>
              <w:jc w:val="center"/>
            </w:pPr>
            <w:r>
              <w:rPr>
                <w:rFonts w:ascii="Times New Roman" w:cs="Times New Roman" w:eastAsia="Times New Roman" w:hAnsi="Times New Roman"/>
                <w:b w:val="false"/>
                <w:bCs w:val="false"/>
                <w:sz w:val="14"/>
                <w:szCs w:val="14"/>
              </w:rPr>
              <w:t xml:space="preserve">1650</w:t>
            </w:r>
          </w:p>
        </w:tc>
        <w:tc>
          <w:tcPr>
            <w:tcW w:type="dxa" w:w="1500"/>
            <w:tcMar>
              <w:top w:type="dxa" w:w="24"/>
              <w:left w:type="dxa" w:w="50"/>
              <w:bottom w:type="dxa" w:w="24"/>
              <w:right w:type="dxa" w:w="50"/>
            </w:tcMar>
            <w:vAlign w:val="center"/>
          </w:tcPr>
          <w:p>
            <w:pPr>
              <w:spacing w:after="0"/>
              <w:jc w:val="center"/>
            </w:pPr>
            <w:r>
              <w:rPr>
                <w:rFonts w:ascii="Times New Roman" w:cs="Times New Roman" w:eastAsia="Times New Roman" w:hAnsi="Times New Roman"/>
                <w:b w:val="false"/>
                <w:bCs w:val="false"/>
                <w:sz w:val="14"/>
                <w:szCs w:val="14"/>
              </w:rPr>
              <w:t xml:space="preserve">1.3477</w:t>
            </w:r>
          </w:p>
        </w:tc>
        <w:tc>
          <w:tcPr>
            <w:tcW w:type="dxa" w:w="1500"/>
            <w:tcMar>
              <w:top w:type="dxa" w:w="24"/>
              <w:left w:type="dxa" w:w="50"/>
              <w:bottom w:type="dxa" w:w="24"/>
              <w:right w:type="dxa" w:w="50"/>
            </w:tcMar>
            <w:vAlign w:val="center"/>
          </w:tcPr>
          <w:p>
            <w:pPr>
              <w:spacing w:after="0"/>
              <w:jc w:val="center"/>
            </w:pPr>
            <w:r>
              <w:rPr>
                <w:rFonts w:ascii="Times New Roman" w:cs="Times New Roman" w:eastAsia="Times New Roman" w:hAnsi="Times New Roman"/>
                <w:b w:val="false"/>
                <w:bCs w:val="false"/>
                <w:sz w:val="14"/>
                <w:szCs w:val="14"/>
              </w:rPr>
              <w:t xml:space="preserve">1.0e-05</w:t>
            </w:r>
          </w:p>
        </w:tc>
        <w:tc>
          <w:tcPr>
            <w:tcW w:type="dxa" w:w="2240"/>
            <w:tcMar>
              <w:top w:type="dxa" w:w="24"/>
              <w:left w:type="dxa" w:w="50"/>
              <w:bottom w:type="dxa" w:w="24"/>
              <w:right w:type="dxa" w:w="50"/>
            </w:tcMar>
            <w:vAlign w:val="center"/>
          </w:tcPr>
          <w:p>
            <w:pPr>
              <w:spacing w:after="0"/>
              <w:jc w:val="center"/>
            </w:pPr>
            <w:r>
              <w:rPr>
                <w:rFonts w:ascii="Times New Roman" w:cs="Times New Roman" w:eastAsia="Times New Roman" w:hAnsi="Times New Roman"/>
                <w:b w:val="false"/>
                <w:bCs w:val="false"/>
                <w:sz w:val="14"/>
                <w:szCs w:val="14"/>
              </w:rPr>
              <w:t xml:space="preserve">2.969</w:t>
            </w:r>
          </w:p>
        </w:tc>
      </w:tr>
      <w:tr>
        <w:tc>
          <w:tcPr>
            <w:tcW w:type="dxa" w:w="1000"/>
            <w:tcMar>
              <w:top w:type="dxa" w:w="24"/>
              <w:left w:type="dxa" w:w="50"/>
              <w:bottom w:type="dxa" w:w="24"/>
              <w:right w:type="dxa" w:w="50"/>
            </w:tcMar>
            <w:vAlign w:val="center"/>
          </w:tcPr>
          <w:p>
            <w:pPr>
              <w:spacing w:after="0"/>
              <w:jc w:val="left"/>
            </w:pPr>
            <w:r>
              <w:rPr>
                <w:rFonts w:ascii="Times New Roman" w:cs="Times New Roman" w:eastAsia="Times New Roman" w:hAnsi="Times New Roman"/>
                <w:b w:val="false"/>
                <w:bCs w:val="false"/>
                <w:sz w:val="14"/>
                <w:szCs w:val="14"/>
              </w:rPr>
              <w:t xml:space="preserve">3</w:t>
            </w:r>
          </w:p>
        </w:tc>
        <w:tc>
          <w:tcPr>
            <w:tcW w:type="dxa" w:w="1400"/>
            <w:tcMar>
              <w:top w:type="dxa" w:w="24"/>
              <w:left w:type="dxa" w:w="50"/>
              <w:bottom w:type="dxa" w:w="24"/>
              <w:right w:type="dxa" w:w="50"/>
            </w:tcMar>
            <w:vAlign w:val="center"/>
          </w:tcPr>
          <w:p>
            <w:pPr>
              <w:spacing w:after="0"/>
              <w:jc w:val="center"/>
            </w:pPr>
            <w:r>
              <w:rPr>
                <w:rFonts w:ascii="Times New Roman" w:cs="Times New Roman" w:eastAsia="Times New Roman" w:hAnsi="Times New Roman"/>
                <w:b w:val="false"/>
                <w:bCs w:val="false"/>
                <w:sz w:val="14"/>
                <w:szCs w:val="14"/>
              </w:rPr>
              <w:t xml:space="preserve">218,467</w:t>
            </w:r>
          </w:p>
        </w:tc>
        <w:tc>
          <w:tcPr>
            <w:tcW w:type="dxa" w:w="1400"/>
            <w:tcMar>
              <w:top w:type="dxa" w:w="24"/>
              <w:left w:type="dxa" w:w="50"/>
              <w:bottom w:type="dxa" w:w="24"/>
              <w:right w:type="dxa" w:w="50"/>
            </w:tcMar>
            <w:vAlign w:val="center"/>
          </w:tcPr>
          <w:p>
            <w:pPr>
              <w:spacing w:after="0"/>
              <w:jc w:val="center"/>
            </w:pPr>
            <w:r>
              <w:rPr>
                <w:rFonts w:ascii="Times New Roman" w:cs="Times New Roman" w:eastAsia="Times New Roman" w:hAnsi="Times New Roman"/>
                <w:b w:val="false"/>
                <w:bCs w:val="false"/>
                <w:sz w:val="14"/>
                <w:szCs w:val="14"/>
              </w:rPr>
              <w:t xml:space="preserve">0.00117</w:t>
            </w:r>
          </w:p>
        </w:tc>
        <w:tc>
          <w:tcPr>
            <w:tcW w:type="dxa" w:w="1400"/>
            <w:tcMar>
              <w:top w:type="dxa" w:w="24"/>
              <w:left w:type="dxa" w:w="50"/>
              <w:bottom w:type="dxa" w:w="24"/>
              <w:right w:type="dxa" w:w="50"/>
            </w:tcMar>
            <w:vAlign w:val="center"/>
          </w:tcPr>
          <w:p>
            <w:pPr>
              <w:spacing w:after="0"/>
              <w:jc w:val="center"/>
            </w:pPr>
            <w:r>
              <w:rPr>
                <w:rFonts w:ascii="Times New Roman" w:cs="Times New Roman" w:eastAsia="Times New Roman" w:hAnsi="Times New Roman"/>
                <w:b w:val="false"/>
                <w:bCs w:val="false"/>
                <w:sz w:val="14"/>
                <w:szCs w:val="14"/>
              </w:rPr>
              <w:t xml:space="preserve">25620</w:t>
            </w:r>
          </w:p>
        </w:tc>
        <w:tc>
          <w:tcPr>
            <w:tcW w:type="dxa" w:w="1500"/>
            <w:tcMar>
              <w:top w:type="dxa" w:w="24"/>
              <w:left w:type="dxa" w:w="50"/>
              <w:bottom w:type="dxa" w:w="24"/>
              <w:right w:type="dxa" w:w="50"/>
            </w:tcMar>
            <w:vAlign w:val="center"/>
          </w:tcPr>
          <w:p>
            <w:pPr>
              <w:spacing w:after="0"/>
              <w:jc w:val="center"/>
            </w:pPr>
            <w:r>
              <w:rPr>
                <w:rFonts w:ascii="Times New Roman" w:cs="Times New Roman" w:eastAsia="Times New Roman" w:hAnsi="Times New Roman"/>
                <w:b w:val="false"/>
                <w:bCs w:val="false"/>
                <w:sz w:val="14"/>
                <w:szCs w:val="14"/>
              </w:rPr>
              <w:t xml:space="preserve">0.6934</w:t>
            </w:r>
          </w:p>
        </w:tc>
        <w:tc>
          <w:tcPr>
            <w:tcW w:type="dxa" w:w="1500"/>
            <w:tcMar>
              <w:top w:type="dxa" w:w="24"/>
              <w:left w:type="dxa" w:w="50"/>
              <w:bottom w:type="dxa" w:w="24"/>
              <w:right w:type="dxa" w:w="50"/>
            </w:tcMar>
            <w:vAlign w:val="center"/>
          </w:tcPr>
          <w:p>
            <w:pPr>
              <w:spacing w:after="0"/>
              <w:jc w:val="center"/>
            </w:pPr>
            <w:r>
              <w:rPr>
                <w:rFonts w:ascii="Times New Roman" w:cs="Times New Roman" w:eastAsia="Times New Roman" w:hAnsi="Times New Roman"/>
                <w:b w:val="false"/>
                <w:bCs w:val="false"/>
                <w:sz w:val="14"/>
                <w:szCs w:val="14"/>
              </w:rPr>
              <w:t xml:space="preserve">4.6e-06</w:t>
            </w:r>
          </w:p>
        </w:tc>
        <w:tc>
          <w:tcPr>
            <w:tcW w:type="dxa" w:w="2240"/>
            <w:tcMar>
              <w:top w:type="dxa" w:w="24"/>
              <w:left w:type="dxa" w:w="50"/>
              <w:bottom w:type="dxa" w:w="24"/>
              <w:right w:type="dxa" w:w="50"/>
            </w:tcMar>
            <w:vAlign w:val="center"/>
          </w:tcPr>
          <w:p>
            <w:pPr>
              <w:spacing w:after="0"/>
              <w:jc w:val="center"/>
            </w:pPr>
            <w:r>
              <w:rPr>
                <w:rFonts w:ascii="Times New Roman" w:cs="Times New Roman" w:eastAsia="Times New Roman" w:hAnsi="Times New Roman"/>
                <w:b w:val="false"/>
                <w:bCs w:val="false"/>
                <w:sz w:val="14"/>
                <w:szCs w:val="14"/>
              </w:rPr>
              <w:t xml:space="preserve">2.998</w:t>
            </w:r>
          </w:p>
        </w:tc>
      </w:tr>
    </w:tbl>
    <w:p>
      <w:pPr>
        <w:spacing w:after="60" w:before="120"/>
        <w:jc w:val="left"/>
      </w:pPr>
      <w:r>
        <w:rPr>
          <w:rFonts w:ascii="Times New Roman" w:cs="Times New Roman" w:eastAsia="Times New Roman" w:hAnsi="Times New Roman"/>
          <w:b/>
          <w:bCs/>
          <w:i/>
          <w:iCs/>
          <w:sz w:val="20"/>
          <w:szCs w:val="20"/>
        </w:rPr>
        <w:t xml:space="preserve">B. Component Ablation (Table III)</w:t>
      </w:r>
    </w:p>
    <w:p>
      <w:pPr>
        <w:spacing w:after="90" w:line="232"/>
        <w:ind w:firstLine="200"/>
        <w:jc w:val="both"/>
      </w:pPr>
      <w:r>
        <w:rPr>
          <w:rFonts w:ascii="Times New Roman" w:cs="Times New Roman" w:eastAsia="Times New Roman" w:hAnsi="Times New Roman"/>
          <w:sz w:val="20"/>
          <w:szCs w:val="20"/>
        </w:rPr>
        <w:t xml:space="preserve">Removing KMeans-SMOTE/ENN balancing drops F1 from 0.79 to 0.74 (ΔF1 −0.06), far smaller than the −0.72 seen at pilot scale, since full data volume leaves enough real fraud examples per client. Architecture ordering from Section III.C holds, with a narrower margin than at pilot scale. The largest single lever in the table is the loss-function result: removing Focal Loss in favor of plain BCE gains 0.02 F1 (Section III.D) — a change recommended for future work rather than already reflected in this reference row, which, like every other row in this table, uses Focal Loss. The − Differential privacy row shows a small negative effect (ΔF1 −0.01), attributed to high variance in that arm (three seeds) rather than a stable effect. Adaptive aggregation shows ΔF1 = 0.00 here since, absent drift, it is mathematically identical to vanilla FedAvg.</w:t>
      </w:r>
    </w:p>
    <w:p>
      <w:pPr>
        <w:spacing w:after="90"/>
        <w:jc w:val="center"/>
      </w:pPr>
      <w:r>
        <w:rPr>
          <w:rFonts w:ascii="Times New Roman" w:cs="Times New Roman" w:eastAsia="Times New Roman" w:hAnsi="Times New Roman"/>
          <w:b/>
          <w:bCs/>
          <w:sz w:val="17"/>
          <w:szCs w:val="17"/>
        </w:rPr>
        <w:t xml:space="preserve">TABLE III: COMPONENT ABLATION (STATIONARY)</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3300"/>
        <w:gridCol w:w="1190"/>
        <w:gridCol w:w="1190"/>
        <w:gridCol w:w="1190"/>
        <w:gridCol w:w="1190"/>
        <w:gridCol w:w="1190"/>
        <w:gridCol w:w="1190"/>
      </w:tblGrid>
      <w:tr>
        <w:trPr>
          <w:tblHeader/>
        </w:trPr>
        <w:tc>
          <w:tcPr>
            <w:tcW w:type="dxa" w:w="3300"/>
            <w:shd w:fill="D9D9D9" w:val="clear"/>
            <w:tcMar>
              <w:top w:type="dxa" w:w="24"/>
              <w:left w:type="dxa" w:w="50"/>
              <w:bottom w:type="dxa" w:w="24"/>
              <w:right w:type="dxa" w:w="50"/>
            </w:tcMar>
            <w:vAlign w:val="center"/>
          </w:tcPr>
          <w:p>
            <w:pPr>
              <w:spacing w:after="0"/>
              <w:jc w:val="center"/>
            </w:pPr>
            <w:r>
              <w:rPr>
                <w:rFonts w:ascii="Times New Roman" w:cs="Times New Roman" w:eastAsia="Times New Roman" w:hAnsi="Times New Roman"/>
                <w:b/>
                <w:bCs/>
                <w:sz w:val="14"/>
                <w:szCs w:val="14"/>
              </w:rPr>
              <w:t xml:space="preserve">Variant</w:t>
            </w:r>
          </w:p>
        </w:tc>
        <w:tc>
          <w:tcPr>
            <w:tcW w:type="dxa" w:w="1190"/>
            <w:shd w:fill="D9D9D9" w:val="clear"/>
            <w:tcMar>
              <w:top w:type="dxa" w:w="24"/>
              <w:left w:type="dxa" w:w="50"/>
              <w:bottom w:type="dxa" w:w="24"/>
              <w:right w:type="dxa" w:w="50"/>
            </w:tcMar>
            <w:vAlign w:val="center"/>
          </w:tcPr>
          <w:p>
            <w:pPr>
              <w:spacing w:after="0"/>
              <w:jc w:val="center"/>
            </w:pPr>
            <w:r>
              <w:rPr>
                <w:rFonts w:ascii="Times New Roman" w:cs="Times New Roman" w:eastAsia="Times New Roman" w:hAnsi="Times New Roman"/>
                <w:b/>
                <w:bCs/>
                <w:sz w:val="14"/>
                <w:szCs w:val="14"/>
              </w:rPr>
              <w:t xml:space="preserve">Precision</w:t>
            </w:r>
          </w:p>
        </w:tc>
        <w:tc>
          <w:tcPr>
            <w:tcW w:type="dxa" w:w="1190"/>
            <w:shd w:fill="D9D9D9" w:val="clear"/>
            <w:tcMar>
              <w:top w:type="dxa" w:w="24"/>
              <w:left w:type="dxa" w:w="50"/>
              <w:bottom w:type="dxa" w:w="24"/>
              <w:right w:type="dxa" w:w="50"/>
            </w:tcMar>
            <w:vAlign w:val="center"/>
          </w:tcPr>
          <w:p>
            <w:pPr>
              <w:spacing w:after="0"/>
              <w:jc w:val="center"/>
            </w:pPr>
            <w:r>
              <w:rPr>
                <w:rFonts w:ascii="Times New Roman" w:cs="Times New Roman" w:eastAsia="Times New Roman" w:hAnsi="Times New Roman"/>
                <w:b/>
                <w:bCs/>
                <w:sz w:val="14"/>
                <w:szCs w:val="14"/>
              </w:rPr>
              <w:t xml:space="preserve">Recall</w:t>
            </w:r>
          </w:p>
        </w:tc>
        <w:tc>
          <w:tcPr>
            <w:tcW w:type="dxa" w:w="1190"/>
            <w:shd w:fill="D9D9D9" w:val="clear"/>
            <w:tcMar>
              <w:top w:type="dxa" w:w="24"/>
              <w:left w:type="dxa" w:w="50"/>
              <w:bottom w:type="dxa" w:w="24"/>
              <w:right w:type="dxa" w:w="50"/>
            </w:tcMar>
            <w:vAlign w:val="center"/>
          </w:tcPr>
          <w:p>
            <w:pPr>
              <w:spacing w:after="0"/>
              <w:jc w:val="center"/>
            </w:pPr>
            <w:r>
              <w:rPr>
                <w:rFonts w:ascii="Times New Roman" w:cs="Times New Roman" w:eastAsia="Times New Roman" w:hAnsi="Times New Roman"/>
                <w:b/>
                <w:bCs/>
                <w:sz w:val="14"/>
                <w:szCs w:val="14"/>
              </w:rPr>
              <w:t xml:space="preserve">F1</w:t>
            </w:r>
          </w:p>
        </w:tc>
        <w:tc>
          <w:tcPr>
            <w:tcW w:type="dxa" w:w="1190"/>
            <w:shd w:fill="D9D9D9" w:val="clear"/>
            <w:tcMar>
              <w:top w:type="dxa" w:w="24"/>
              <w:left w:type="dxa" w:w="50"/>
              <w:bottom w:type="dxa" w:w="24"/>
              <w:right w:type="dxa" w:w="50"/>
            </w:tcMar>
            <w:vAlign w:val="center"/>
          </w:tcPr>
          <w:p>
            <w:pPr>
              <w:spacing w:after="0"/>
              <w:jc w:val="center"/>
            </w:pPr>
            <w:r>
              <w:rPr>
                <w:rFonts w:ascii="Times New Roman" w:cs="Times New Roman" w:eastAsia="Times New Roman" w:hAnsi="Times New Roman"/>
                <w:b/>
                <w:bCs/>
                <w:sz w:val="14"/>
                <w:szCs w:val="14"/>
              </w:rPr>
              <w:t xml:space="preserve">ROC-AUC</w:t>
            </w:r>
          </w:p>
        </w:tc>
        <w:tc>
          <w:tcPr>
            <w:tcW w:type="dxa" w:w="1190"/>
            <w:shd w:fill="D9D9D9" w:val="clear"/>
            <w:tcMar>
              <w:top w:type="dxa" w:w="24"/>
              <w:left w:type="dxa" w:w="50"/>
              <w:bottom w:type="dxa" w:w="24"/>
              <w:right w:type="dxa" w:w="50"/>
            </w:tcMar>
            <w:vAlign w:val="center"/>
          </w:tcPr>
          <w:p>
            <w:pPr>
              <w:spacing w:after="0"/>
              <w:jc w:val="center"/>
            </w:pPr>
            <w:r>
              <w:rPr>
                <w:rFonts w:ascii="Times New Roman" w:cs="Times New Roman" w:eastAsia="Times New Roman" w:hAnsi="Times New Roman"/>
                <w:b/>
                <w:bCs/>
                <w:sz w:val="14"/>
                <w:szCs w:val="14"/>
              </w:rPr>
              <w:t xml:space="preserve">PR-AUC</w:t>
            </w:r>
          </w:p>
        </w:tc>
        <w:tc>
          <w:tcPr>
            <w:tcW w:type="dxa" w:w="1190"/>
            <w:shd w:fill="D9D9D9" w:val="clear"/>
            <w:tcMar>
              <w:top w:type="dxa" w:w="24"/>
              <w:left w:type="dxa" w:w="50"/>
              <w:bottom w:type="dxa" w:w="24"/>
              <w:right w:type="dxa" w:w="50"/>
            </w:tcMar>
            <w:vAlign w:val="center"/>
          </w:tcPr>
          <w:p>
            <w:pPr>
              <w:spacing w:after="0"/>
              <w:jc w:val="center"/>
            </w:pPr>
            <w:r>
              <w:rPr>
                <w:rFonts w:ascii="Times New Roman" w:cs="Times New Roman" w:eastAsia="Times New Roman" w:hAnsi="Times New Roman"/>
                <w:b/>
                <w:bCs/>
                <w:sz w:val="14"/>
                <w:szCs w:val="14"/>
              </w:rPr>
              <w:t xml:space="preserve">ΔF1</w:t>
            </w:r>
          </w:p>
        </w:tc>
      </w:tr>
      <w:tr>
        <w:tc>
          <w:tcPr>
            <w:tcW w:type="dxa" w:w="3300"/>
            <w:tcMar>
              <w:top w:type="dxa" w:w="24"/>
              <w:left w:type="dxa" w:w="50"/>
              <w:bottom w:type="dxa" w:w="24"/>
              <w:right w:type="dxa" w:w="50"/>
            </w:tcMar>
            <w:vAlign w:val="center"/>
          </w:tcPr>
          <w:p>
            <w:pPr>
              <w:spacing w:after="0"/>
              <w:jc w:val="left"/>
            </w:pPr>
            <w:r>
              <w:rPr>
                <w:rFonts w:ascii="Times New Roman" w:cs="Times New Roman" w:eastAsia="Times New Roman" w:hAnsi="Times New Roman"/>
                <w:b w:val="false"/>
                <w:bCs w:val="false"/>
                <w:sz w:val="14"/>
                <w:szCs w:val="14"/>
              </w:rPr>
              <w:t xml:space="preserve">Full system (MLP, no CNN/BiLSTM, Focal Loss)</w:t>
            </w:r>
          </w:p>
        </w:tc>
        <w:tc>
          <w:tcPr>
            <w:tcW w:type="dxa" w:w="1190"/>
            <w:tcMar>
              <w:top w:type="dxa" w:w="24"/>
              <w:left w:type="dxa" w:w="50"/>
              <w:bottom w:type="dxa" w:w="24"/>
              <w:right w:type="dxa" w:w="50"/>
            </w:tcMar>
            <w:vAlign w:val="center"/>
          </w:tcPr>
          <w:p>
            <w:pPr>
              <w:spacing w:after="0"/>
              <w:jc w:val="center"/>
            </w:pPr>
            <w:r>
              <w:rPr>
                <w:rFonts w:ascii="Times New Roman" w:cs="Times New Roman" w:eastAsia="Times New Roman" w:hAnsi="Times New Roman"/>
                <w:b w:val="false"/>
                <w:bCs w:val="false"/>
                <w:sz w:val="14"/>
                <w:szCs w:val="14"/>
              </w:rPr>
              <w:t xml:space="preserve">0.85 ± 0.03</w:t>
            </w:r>
          </w:p>
        </w:tc>
        <w:tc>
          <w:tcPr>
            <w:tcW w:type="dxa" w:w="1190"/>
            <w:tcMar>
              <w:top w:type="dxa" w:w="24"/>
              <w:left w:type="dxa" w:w="50"/>
              <w:bottom w:type="dxa" w:w="24"/>
              <w:right w:type="dxa" w:w="50"/>
            </w:tcMar>
            <w:vAlign w:val="center"/>
          </w:tcPr>
          <w:p>
            <w:pPr>
              <w:spacing w:after="0"/>
              <w:jc w:val="center"/>
            </w:pPr>
            <w:r>
              <w:rPr>
                <w:rFonts w:ascii="Times New Roman" w:cs="Times New Roman" w:eastAsia="Times New Roman" w:hAnsi="Times New Roman"/>
                <w:b w:val="false"/>
                <w:bCs w:val="false"/>
                <w:sz w:val="14"/>
                <w:szCs w:val="14"/>
              </w:rPr>
              <w:t xml:space="preserve">0.75 ± 0.06</w:t>
            </w:r>
          </w:p>
        </w:tc>
        <w:tc>
          <w:tcPr>
            <w:tcW w:type="dxa" w:w="1190"/>
            <w:tcMar>
              <w:top w:type="dxa" w:w="24"/>
              <w:left w:type="dxa" w:w="50"/>
              <w:bottom w:type="dxa" w:w="24"/>
              <w:right w:type="dxa" w:w="50"/>
            </w:tcMar>
            <w:vAlign w:val="center"/>
          </w:tcPr>
          <w:p>
            <w:pPr>
              <w:spacing w:after="0"/>
              <w:jc w:val="center"/>
            </w:pPr>
            <w:r>
              <w:rPr>
                <w:rFonts w:ascii="Times New Roman" w:cs="Times New Roman" w:eastAsia="Times New Roman" w:hAnsi="Times New Roman"/>
                <w:b w:val="false"/>
                <w:bCs w:val="false"/>
                <w:sz w:val="14"/>
                <w:szCs w:val="14"/>
              </w:rPr>
              <w:t xml:space="preserve">0.79 ± 0.02</w:t>
            </w:r>
          </w:p>
        </w:tc>
        <w:tc>
          <w:tcPr>
            <w:tcW w:type="dxa" w:w="1190"/>
            <w:tcMar>
              <w:top w:type="dxa" w:w="24"/>
              <w:left w:type="dxa" w:w="50"/>
              <w:bottom w:type="dxa" w:w="24"/>
              <w:right w:type="dxa" w:w="50"/>
            </w:tcMar>
            <w:vAlign w:val="center"/>
          </w:tcPr>
          <w:p>
            <w:pPr>
              <w:spacing w:after="0"/>
              <w:jc w:val="center"/>
            </w:pPr>
            <w:r>
              <w:rPr>
                <w:rFonts w:ascii="Times New Roman" w:cs="Times New Roman" w:eastAsia="Times New Roman" w:hAnsi="Times New Roman"/>
                <w:b w:val="false"/>
                <w:bCs w:val="false"/>
                <w:sz w:val="14"/>
                <w:szCs w:val="14"/>
              </w:rPr>
              <w:t xml:space="preserve">0.97 ± 0.01</w:t>
            </w:r>
          </w:p>
        </w:tc>
        <w:tc>
          <w:tcPr>
            <w:tcW w:type="dxa" w:w="1190"/>
            <w:tcMar>
              <w:top w:type="dxa" w:w="24"/>
              <w:left w:type="dxa" w:w="50"/>
              <w:bottom w:type="dxa" w:w="24"/>
              <w:right w:type="dxa" w:w="50"/>
            </w:tcMar>
            <w:vAlign w:val="center"/>
          </w:tcPr>
          <w:p>
            <w:pPr>
              <w:spacing w:after="0"/>
              <w:jc w:val="center"/>
            </w:pPr>
            <w:r>
              <w:rPr>
                <w:rFonts w:ascii="Times New Roman" w:cs="Times New Roman" w:eastAsia="Times New Roman" w:hAnsi="Times New Roman"/>
                <w:b w:val="false"/>
                <w:bCs w:val="false"/>
                <w:sz w:val="14"/>
                <w:szCs w:val="14"/>
              </w:rPr>
              <w:t xml:space="preserve">0.73 ± 0.02</w:t>
            </w:r>
          </w:p>
        </w:tc>
        <w:tc>
          <w:tcPr>
            <w:tcW w:type="dxa" w:w="1190"/>
            <w:tcMar>
              <w:top w:type="dxa" w:w="24"/>
              <w:left w:type="dxa" w:w="50"/>
              <w:bottom w:type="dxa" w:w="24"/>
              <w:right w:type="dxa" w:w="50"/>
            </w:tcMar>
            <w:vAlign w:val="center"/>
          </w:tcPr>
          <w:p>
            <w:pPr>
              <w:spacing w:after="0"/>
              <w:jc w:val="center"/>
            </w:pPr>
            <w:r>
              <w:rPr>
                <w:rFonts w:ascii="Times New Roman" w:cs="Times New Roman" w:eastAsia="Times New Roman" w:hAnsi="Times New Roman"/>
                <w:b w:val="false"/>
                <w:bCs w:val="false"/>
                <w:sz w:val="14"/>
                <w:szCs w:val="14"/>
              </w:rPr>
              <w:t xml:space="preserve">ref</w:t>
            </w:r>
          </w:p>
        </w:tc>
      </w:tr>
      <w:tr>
        <w:tc>
          <w:tcPr>
            <w:tcW w:type="dxa" w:w="3300"/>
            <w:tcMar>
              <w:top w:type="dxa" w:w="24"/>
              <w:left w:type="dxa" w:w="50"/>
              <w:bottom w:type="dxa" w:w="24"/>
              <w:right w:type="dxa" w:w="50"/>
            </w:tcMar>
            <w:vAlign w:val="center"/>
          </w:tcPr>
          <w:p>
            <w:pPr>
              <w:spacing w:after="0"/>
              <w:jc w:val="left"/>
            </w:pPr>
            <w:r>
              <w:rPr>
                <w:rFonts w:ascii="Times New Roman" w:cs="Times New Roman" w:eastAsia="Times New Roman" w:hAnsi="Times New Roman"/>
                <w:b w:val="false"/>
                <w:bCs w:val="false"/>
                <w:sz w:val="14"/>
                <w:szCs w:val="14"/>
              </w:rPr>
              <w:t xml:space="preserve">+ CNN block (discarded)</w:t>
            </w:r>
          </w:p>
        </w:tc>
        <w:tc>
          <w:tcPr>
            <w:tcW w:type="dxa" w:w="1190"/>
            <w:tcMar>
              <w:top w:type="dxa" w:w="24"/>
              <w:left w:type="dxa" w:w="50"/>
              <w:bottom w:type="dxa" w:w="24"/>
              <w:right w:type="dxa" w:w="50"/>
            </w:tcMar>
            <w:vAlign w:val="center"/>
          </w:tcPr>
          <w:p>
            <w:pPr>
              <w:spacing w:after="0"/>
              <w:jc w:val="center"/>
            </w:pPr>
            <w:r>
              <w:rPr>
                <w:rFonts w:ascii="Times New Roman" w:cs="Times New Roman" w:eastAsia="Times New Roman" w:hAnsi="Times New Roman"/>
                <w:b w:val="false"/>
                <w:bCs w:val="false"/>
                <w:sz w:val="14"/>
                <w:szCs w:val="14"/>
              </w:rPr>
              <w:t xml:space="preserve">0.83 ± 0.04</w:t>
            </w:r>
          </w:p>
        </w:tc>
        <w:tc>
          <w:tcPr>
            <w:tcW w:type="dxa" w:w="1190"/>
            <w:tcMar>
              <w:top w:type="dxa" w:w="24"/>
              <w:left w:type="dxa" w:w="50"/>
              <w:bottom w:type="dxa" w:w="24"/>
              <w:right w:type="dxa" w:w="50"/>
            </w:tcMar>
            <w:vAlign w:val="center"/>
          </w:tcPr>
          <w:p>
            <w:pPr>
              <w:spacing w:after="0"/>
              <w:jc w:val="center"/>
            </w:pPr>
            <w:r>
              <w:rPr>
                <w:rFonts w:ascii="Times New Roman" w:cs="Times New Roman" w:eastAsia="Times New Roman" w:hAnsi="Times New Roman"/>
                <w:b w:val="false"/>
                <w:bCs w:val="false"/>
                <w:sz w:val="14"/>
                <w:szCs w:val="14"/>
              </w:rPr>
              <w:t xml:space="preserve">0.75 ± 0.05</w:t>
            </w:r>
          </w:p>
        </w:tc>
        <w:tc>
          <w:tcPr>
            <w:tcW w:type="dxa" w:w="1190"/>
            <w:tcMar>
              <w:top w:type="dxa" w:w="24"/>
              <w:left w:type="dxa" w:w="50"/>
              <w:bottom w:type="dxa" w:w="24"/>
              <w:right w:type="dxa" w:w="50"/>
            </w:tcMar>
            <w:vAlign w:val="center"/>
          </w:tcPr>
          <w:p>
            <w:pPr>
              <w:spacing w:after="0"/>
              <w:jc w:val="center"/>
            </w:pPr>
            <w:r>
              <w:rPr>
                <w:rFonts w:ascii="Times New Roman" w:cs="Times New Roman" w:eastAsia="Times New Roman" w:hAnsi="Times New Roman"/>
                <w:b w:val="false"/>
                <w:bCs w:val="false"/>
                <w:sz w:val="14"/>
                <w:szCs w:val="14"/>
              </w:rPr>
              <w:t xml:space="preserve">0.79 ± 0.03</w:t>
            </w:r>
          </w:p>
        </w:tc>
        <w:tc>
          <w:tcPr>
            <w:tcW w:type="dxa" w:w="1190"/>
            <w:tcMar>
              <w:top w:type="dxa" w:w="24"/>
              <w:left w:type="dxa" w:w="50"/>
              <w:bottom w:type="dxa" w:w="24"/>
              <w:right w:type="dxa" w:w="50"/>
            </w:tcMar>
            <w:vAlign w:val="center"/>
          </w:tcPr>
          <w:p>
            <w:pPr>
              <w:spacing w:after="0"/>
              <w:jc w:val="center"/>
            </w:pPr>
            <w:r>
              <w:rPr>
                <w:rFonts w:ascii="Times New Roman" w:cs="Times New Roman" w:eastAsia="Times New Roman" w:hAnsi="Times New Roman"/>
                <w:b w:val="false"/>
                <w:bCs w:val="false"/>
                <w:sz w:val="14"/>
                <w:szCs w:val="14"/>
              </w:rPr>
              <w:t xml:space="preserve">0.98 ± 0.01</w:t>
            </w:r>
          </w:p>
        </w:tc>
        <w:tc>
          <w:tcPr>
            <w:tcW w:type="dxa" w:w="1190"/>
            <w:tcMar>
              <w:top w:type="dxa" w:w="24"/>
              <w:left w:type="dxa" w:w="50"/>
              <w:bottom w:type="dxa" w:w="24"/>
              <w:right w:type="dxa" w:w="50"/>
            </w:tcMar>
            <w:vAlign w:val="center"/>
          </w:tcPr>
          <w:p>
            <w:pPr>
              <w:spacing w:after="0"/>
              <w:jc w:val="center"/>
            </w:pPr>
            <w:r>
              <w:rPr>
                <w:rFonts w:ascii="Times New Roman" w:cs="Times New Roman" w:eastAsia="Times New Roman" w:hAnsi="Times New Roman"/>
                <w:b w:val="false"/>
                <w:bCs w:val="false"/>
                <w:sz w:val="14"/>
                <w:szCs w:val="14"/>
              </w:rPr>
              <w:t xml:space="preserve">0.73 ± 0.01</w:t>
            </w:r>
          </w:p>
        </w:tc>
        <w:tc>
          <w:tcPr>
            <w:tcW w:type="dxa" w:w="1190"/>
            <w:tcMar>
              <w:top w:type="dxa" w:w="24"/>
              <w:left w:type="dxa" w:w="50"/>
              <w:bottom w:type="dxa" w:w="24"/>
              <w:right w:type="dxa" w:w="50"/>
            </w:tcMar>
            <w:vAlign w:val="center"/>
          </w:tcPr>
          <w:p>
            <w:pPr>
              <w:spacing w:after="0"/>
              <w:jc w:val="center"/>
            </w:pPr>
            <w:r>
              <w:rPr>
                <w:rFonts w:ascii="Times New Roman" w:cs="Times New Roman" w:eastAsia="Times New Roman" w:hAnsi="Times New Roman"/>
                <w:b w:val="false"/>
                <w:bCs w:val="false"/>
                <w:sz w:val="14"/>
                <w:szCs w:val="14"/>
              </w:rPr>
              <w:t xml:space="preserve">−0.01</w:t>
            </w:r>
          </w:p>
        </w:tc>
      </w:tr>
      <w:tr>
        <w:tc>
          <w:tcPr>
            <w:tcW w:type="dxa" w:w="3300"/>
            <w:tcMar>
              <w:top w:type="dxa" w:w="24"/>
              <w:left w:type="dxa" w:w="50"/>
              <w:bottom w:type="dxa" w:w="24"/>
              <w:right w:type="dxa" w:w="50"/>
            </w:tcMar>
            <w:vAlign w:val="center"/>
          </w:tcPr>
          <w:p>
            <w:pPr>
              <w:spacing w:after="0"/>
              <w:jc w:val="left"/>
            </w:pPr>
            <w:r>
              <w:rPr>
                <w:rFonts w:ascii="Times New Roman" w:cs="Times New Roman" w:eastAsia="Times New Roman" w:hAnsi="Times New Roman"/>
                <w:b w:val="false"/>
                <w:bCs w:val="false"/>
                <w:sz w:val="14"/>
                <w:szCs w:val="14"/>
              </w:rPr>
              <w:t xml:space="preserve">+ CNN and BiLSTM blocks (discarded)</w:t>
            </w:r>
          </w:p>
        </w:tc>
        <w:tc>
          <w:tcPr>
            <w:tcW w:type="dxa" w:w="1190"/>
            <w:tcMar>
              <w:top w:type="dxa" w:w="24"/>
              <w:left w:type="dxa" w:w="50"/>
              <w:bottom w:type="dxa" w:w="24"/>
              <w:right w:type="dxa" w:w="50"/>
            </w:tcMar>
            <w:vAlign w:val="center"/>
          </w:tcPr>
          <w:p>
            <w:pPr>
              <w:spacing w:after="0"/>
              <w:jc w:val="center"/>
            </w:pPr>
            <w:r>
              <w:rPr>
                <w:rFonts w:ascii="Times New Roman" w:cs="Times New Roman" w:eastAsia="Times New Roman" w:hAnsi="Times New Roman"/>
                <w:b w:val="false"/>
                <w:bCs w:val="false"/>
                <w:sz w:val="14"/>
                <w:szCs w:val="14"/>
              </w:rPr>
              <w:t xml:space="preserve">0.78 ± 0.05</w:t>
            </w:r>
          </w:p>
        </w:tc>
        <w:tc>
          <w:tcPr>
            <w:tcW w:type="dxa" w:w="1190"/>
            <w:tcMar>
              <w:top w:type="dxa" w:w="24"/>
              <w:left w:type="dxa" w:w="50"/>
              <w:bottom w:type="dxa" w:w="24"/>
              <w:right w:type="dxa" w:w="50"/>
            </w:tcMar>
            <w:vAlign w:val="center"/>
          </w:tcPr>
          <w:p>
            <w:pPr>
              <w:spacing w:after="0"/>
              <w:jc w:val="center"/>
            </w:pPr>
            <w:r>
              <w:rPr>
                <w:rFonts w:ascii="Times New Roman" w:cs="Times New Roman" w:eastAsia="Times New Roman" w:hAnsi="Times New Roman"/>
                <w:b w:val="false"/>
                <w:bCs w:val="false"/>
                <w:sz w:val="14"/>
                <w:szCs w:val="14"/>
              </w:rPr>
              <w:t xml:space="preserve">0.69 ± 0.05</w:t>
            </w:r>
          </w:p>
        </w:tc>
        <w:tc>
          <w:tcPr>
            <w:tcW w:type="dxa" w:w="1190"/>
            <w:tcMar>
              <w:top w:type="dxa" w:w="24"/>
              <w:left w:type="dxa" w:w="50"/>
              <w:bottom w:type="dxa" w:w="24"/>
              <w:right w:type="dxa" w:w="50"/>
            </w:tcMar>
            <w:vAlign w:val="center"/>
          </w:tcPr>
          <w:p>
            <w:pPr>
              <w:spacing w:after="0"/>
              <w:jc w:val="center"/>
            </w:pPr>
            <w:r>
              <w:rPr>
                <w:rFonts w:ascii="Times New Roman" w:cs="Times New Roman" w:eastAsia="Times New Roman" w:hAnsi="Times New Roman"/>
                <w:b w:val="false"/>
                <w:bCs w:val="false"/>
                <w:sz w:val="14"/>
                <w:szCs w:val="14"/>
              </w:rPr>
              <w:t xml:space="preserve">0.73 ± 0.03</w:t>
            </w:r>
          </w:p>
        </w:tc>
        <w:tc>
          <w:tcPr>
            <w:tcW w:type="dxa" w:w="1190"/>
            <w:tcMar>
              <w:top w:type="dxa" w:w="24"/>
              <w:left w:type="dxa" w:w="50"/>
              <w:bottom w:type="dxa" w:w="24"/>
              <w:right w:type="dxa" w:w="50"/>
            </w:tcMar>
            <w:vAlign w:val="center"/>
          </w:tcPr>
          <w:p>
            <w:pPr>
              <w:spacing w:after="0"/>
              <w:jc w:val="center"/>
            </w:pPr>
            <w:r>
              <w:rPr>
                <w:rFonts w:ascii="Times New Roman" w:cs="Times New Roman" w:eastAsia="Times New Roman" w:hAnsi="Times New Roman"/>
                <w:b w:val="false"/>
                <w:bCs w:val="false"/>
                <w:sz w:val="14"/>
                <w:szCs w:val="14"/>
              </w:rPr>
              <w:t xml:space="preserve">0.95 ± 0.01</w:t>
            </w:r>
          </w:p>
        </w:tc>
        <w:tc>
          <w:tcPr>
            <w:tcW w:type="dxa" w:w="1190"/>
            <w:tcMar>
              <w:top w:type="dxa" w:w="24"/>
              <w:left w:type="dxa" w:w="50"/>
              <w:bottom w:type="dxa" w:w="24"/>
              <w:right w:type="dxa" w:w="50"/>
            </w:tcMar>
            <w:vAlign w:val="center"/>
          </w:tcPr>
          <w:p>
            <w:pPr>
              <w:spacing w:after="0"/>
              <w:jc w:val="center"/>
            </w:pPr>
            <w:r>
              <w:rPr>
                <w:rFonts w:ascii="Times New Roman" w:cs="Times New Roman" w:eastAsia="Times New Roman" w:hAnsi="Times New Roman"/>
                <w:b w:val="false"/>
                <w:bCs w:val="false"/>
                <w:sz w:val="14"/>
                <w:szCs w:val="14"/>
              </w:rPr>
              <w:t xml:space="preserve">0.65 ± 0.01</w:t>
            </w:r>
          </w:p>
        </w:tc>
        <w:tc>
          <w:tcPr>
            <w:tcW w:type="dxa" w:w="1190"/>
            <w:tcMar>
              <w:top w:type="dxa" w:w="24"/>
              <w:left w:type="dxa" w:w="50"/>
              <w:bottom w:type="dxa" w:w="24"/>
              <w:right w:type="dxa" w:w="50"/>
            </w:tcMar>
            <w:vAlign w:val="center"/>
          </w:tcPr>
          <w:p>
            <w:pPr>
              <w:spacing w:after="0"/>
              <w:jc w:val="center"/>
            </w:pPr>
            <w:r>
              <w:rPr>
                <w:rFonts w:ascii="Times New Roman" w:cs="Times New Roman" w:eastAsia="Times New Roman" w:hAnsi="Times New Roman"/>
                <w:b w:val="false"/>
                <w:bCs w:val="false"/>
                <w:sz w:val="14"/>
                <w:szCs w:val="14"/>
              </w:rPr>
              <w:t xml:space="preserve">−0.06</w:t>
            </w:r>
          </w:p>
        </w:tc>
      </w:tr>
      <w:tr>
        <w:tc>
          <w:tcPr>
            <w:tcW w:type="dxa" w:w="3300"/>
            <w:tcMar>
              <w:top w:type="dxa" w:w="24"/>
              <w:left w:type="dxa" w:w="50"/>
              <w:bottom w:type="dxa" w:w="24"/>
              <w:right w:type="dxa" w:w="50"/>
            </w:tcMar>
            <w:vAlign w:val="center"/>
          </w:tcPr>
          <w:p>
            <w:pPr>
              <w:spacing w:after="0"/>
              <w:jc w:val="left"/>
            </w:pPr>
            <w:r>
              <w:rPr>
                <w:rFonts w:ascii="Times New Roman" w:cs="Times New Roman" w:eastAsia="Times New Roman" w:hAnsi="Times New Roman"/>
                <w:b w:val="false"/>
                <w:bCs w:val="false"/>
                <w:sz w:val="14"/>
                <w:szCs w:val="14"/>
              </w:rPr>
              <w:t xml:space="preserve">+ BiLSTM only (no CNN)</w:t>
            </w:r>
          </w:p>
        </w:tc>
        <w:tc>
          <w:tcPr>
            <w:tcW w:type="dxa" w:w="1190"/>
            <w:tcMar>
              <w:top w:type="dxa" w:w="24"/>
              <w:left w:type="dxa" w:w="50"/>
              <w:bottom w:type="dxa" w:w="24"/>
              <w:right w:type="dxa" w:w="50"/>
            </w:tcMar>
            <w:vAlign w:val="center"/>
          </w:tcPr>
          <w:p>
            <w:pPr>
              <w:spacing w:after="0"/>
              <w:jc w:val="center"/>
            </w:pPr>
            <w:r>
              <w:rPr>
                <w:rFonts w:ascii="Times New Roman" w:cs="Times New Roman" w:eastAsia="Times New Roman" w:hAnsi="Times New Roman"/>
                <w:b w:val="false"/>
                <w:bCs w:val="false"/>
                <w:sz w:val="14"/>
                <w:szCs w:val="14"/>
              </w:rPr>
              <w:t xml:space="preserve">0.82 ± 0.05</w:t>
            </w:r>
          </w:p>
        </w:tc>
        <w:tc>
          <w:tcPr>
            <w:tcW w:type="dxa" w:w="1190"/>
            <w:tcMar>
              <w:top w:type="dxa" w:w="24"/>
              <w:left w:type="dxa" w:w="50"/>
              <w:bottom w:type="dxa" w:w="24"/>
              <w:right w:type="dxa" w:w="50"/>
            </w:tcMar>
            <w:vAlign w:val="center"/>
          </w:tcPr>
          <w:p>
            <w:pPr>
              <w:spacing w:after="0"/>
              <w:jc w:val="center"/>
            </w:pPr>
            <w:r>
              <w:rPr>
                <w:rFonts w:ascii="Times New Roman" w:cs="Times New Roman" w:eastAsia="Times New Roman" w:hAnsi="Times New Roman"/>
                <w:b w:val="false"/>
                <w:bCs w:val="false"/>
                <w:sz w:val="14"/>
                <w:szCs w:val="14"/>
              </w:rPr>
              <w:t xml:space="preserve">0.75 ± 0.03</w:t>
            </w:r>
          </w:p>
        </w:tc>
        <w:tc>
          <w:tcPr>
            <w:tcW w:type="dxa" w:w="1190"/>
            <w:tcMar>
              <w:top w:type="dxa" w:w="24"/>
              <w:left w:type="dxa" w:w="50"/>
              <w:bottom w:type="dxa" w:w="24"/>
              <w:right w:type="dxa" w:w="50"/>
            </w:tcMar>
            <w:vAlign w:val="center"/>
          </w:tcPr>
          <w:p>
            <w:pPr>
              <w:spacing w:after="0"/>
              <w:jc w:val="center"/>
            </w:pPr>
            <w:r>
              <w:rPr>
                <w:rFonts w:ascii="Times New Roman" w:cs="Times New Roman" w:eastAsia="Times New Roman" w:hAnsi="Times New Roman"/>
                <w:b w:val="false"/>
                <w:bCs w:val="false"/>
                <w:sz w:val="14"/>
                <w:szCs w:val="14"/>
              </w:rPr>
              <w:t xml:space="preserve">0.78 ± 0.01</w:t>
            </w:r>
          </w:p>
        </w:tc>
        <w:tc>
          <w:tcPr>
            <w:tcW w:type="dxa" w:w="1190"/>
            <w:tcMar>
              <w:top w:type="dxa" w:w="24"/>
              <w:left w:type="dxa" w:w="50"/>
              <w:bottom w:type="dxa" w:w="24"/>
              <w:right w:type="dxa" w:w="50"/>
            </w:tcMar>
            <w:vAlign w:val="center"/>
          </w:tcPr>
          <w:p>
            <w:pPr>
              <w:spacing w:after="0"/>
              <w:jc w:val="center"/>
            </w:pPr>
            <w:r>
              <w:rPr>
                <w:rFonts w:ascii="Times New Roman" w:cs="Times New Roman" w:eastAsia="Times New Roman" w:hAnsi="Times New Roman"/>
                <w:b w:val="false"/>
                <w:bCs w:val="false"/>
                <w:sz w:val="14"/>
                <w:szCs w:val="14"/>
              </w:rPr>
              <w:t xml:space="preserve">0.95 ± 0.00</w:t>
            </w:r>
          </w:p>
        </w:tc>
        <w:tc>
          <w:tcPr>
            <w:tcW w:type="dxa" w:w="1190"/>
            <w:tcMar>
              <w:top w:type="dxa" w:w="24"/>
              <w:left w:type="dxa" w:w="50"/>
              <w:bottom w:type="dxa" w:w="24"/>
              <w:right w:type="dxa" w:w="50"/>
            </w:tcMar>
            <w:vAlign w:val="center"/>
          </w:tcPr>
          <w:p>
            <w:pPr>
              <w:spacing w:after="0"/>
              <w:jc w:val="center"/>
            </w:pPr>
            <w:r>
              <w:rPr>
                <w:rFonts w:ascii="Times New Roman" w:cs="Times New Roman" w:eastAsia="Times New Roman" w:hAnsi="Times New Roman"/>
                <w:b w:val="false"/>
                <w:bCs w:val="false"/>
                <w:sz w:val="14"/>
                <w:szCs w:val="14"/>
              </w:rPr>
              <w:t xml:space="preserve">0.70 ± 0.07</w:t>
            </w:r>
          </w:p>
        </w:tc>
        <w:tc>
          <w:tcPr>
            <w:tcW w:type="dxa" w:w="1190"/>
            <w:tcMar>
              <w:top w:type="dxa" w:w="24"/>
              <w:left w:type="dxa" w:w="50"/>
              <w:bottom w:type="dxa" w:w="24"/>
              <w:right w:type="dxa" w:w="50"/>
            </w:tcMar>
            <w:vAlign w:val="center"/>
          </w:tcPr>
          <w:p>
            <w:pPr>
              <w:spacing w:after="0"/>
              <w:jc w:val="center"/>
            </w:pPr>
            <w:r>
              <w:rPr>
                <w:rFonts w:ascii="Times New Roman" w:cs="Times New Roman" w:eastAsia="Times New Roman" w:hAnsi="Times New Roman"/>
                <w:b w:val="false"/>
                <w:bCs w:val="false"/>
                <w:sz w:val="14"/>
                <w:szCs w:val="14"/>
              </w:rPr>
              <w:t xml:space="preserve">−0.01</w:t>
            </w:r>
          </w:p>
        </w:tc>
      </w:tr>
      <w:tr>
        <w:tc>
          <w:tcPr>
            <w:tcW w:type="dxa" w:w="3300"/>
            <w:tcMar>
              <w:top w:type="dxa" w:w="24"/>
              <w:left w:type="dxa" w:w="50"/>
              <w:bottom w:type="dxa" w:w="24"/>
              <w:right w:type="dxa" w:w="50"/>
            </w:tcMar>
            <w:vAlign w:val="center"/>
          </w:tcPr>
          <w:p>
            <w:pPr>
              <w:spacing w:after="0"/>
              <w:jc w:val="left"/>
            </w:pPr>
            <w:r>
              <w:rPr>
                <w:rFonts w:ascii="Times New Roman" w:cs="Times New Roman" w:eastAsia="Times New Roman" w:hAnsi="Times New Roman"/>
                <w:b w:val="false"/>
                <w:bCs w:val="false"/>
                <w:sz w:val="14"/>
                <w:szCs w:val="14"/>
              </w:rPr>
              <w:t xml:space="preserve">− KMeans-SMOTE/ENN balancing</w:t>
            </w:r>
          </w:p>
        </w:tc>
        <w:tc>
          <w:tcPr>
            <w:tcW w:type="dxa" w:w="1190"/>
            <w:tcMar>
              <w:top w:type="dxa" w:w="24"/>
              <w:left w:type="dxa" w:w="50"/>
              <w:bottom w:type="dxa" w:w="24"/>
              <w:right w:type="dxa" w:w="50"/>
            </w:tcMar>
            <w:vAlign w:val="center"/>
          </w:tcPr>
          <w:p>
            <w:pPr>
              <w:spacing w:after="0"/>
              <w:jc w:val="center"/>
            </w:pPr>
            <w:r>
              <w:rPr>
                <w:rFonts w:ascii="Times New Roman" w:cs="Times New Roman" w:eastAsia="Times New Roman" w:hAnsi="Times New Roman"/>
                <w:b w:val="false"/>
                <w:bCs w:val="false"/>
                <w:sz w:val="14"/>
                <w:szCs w:val="14"/>
              </w:rPr>
              <w:t xml:space="preserve">0.83 ± 0.04</w:t>
            </w:r>
          </w:p>
        </w:tc>
        <w:tc>
          <w:tcPr>
            <w:tcW w:type="dxa" w:w="1190"/>
            <w:tcMar>
              <w:top w:type="dxa" w:w="24"/>
              <w:left w:type="dxa" w:w="50"/>
              <w:bottom w:type="dxa" w:w="24"/>
              <w:right w:type="dxa" w:w="50"/>
            </w:tcMar>
            <w:vAlign w:val="center"/>
          </w:tcPr>
          <w:p>
            <w:pPr>
              <w:spacing w:after="0"/>
              <w:jc w:val="center"/>
            </w:pPr>
            <w:r>
              <w:rPr>
                <w:rFonts w:ascii="Times New Roman" w:cs="Times New Roman" w:eastAsia="Times New Roman" w:hAnsi="Times New Roman"/>
                <w:b w:val="false"/>
                <w:bCs w:val="false"/>
                <w:sz w:val="14"/>
                <w:szCs w:val="14"/>
              </w:rPr>
              <w:t xml:space="preserve">0.66 ± 0.09</w:t>
            </w:r>
          </w:p>
        </w:tc>
        <w:tc>
          <w:tcPr>
            <w:tcW w:type="dxa" w:w="1190"/>
            <w:tcMar>
              <w:top w:type="dxa" w:w="24"/>
              <w:left w:type="dxa" w:w="50"/>
              <w:bottom w:type="dxa" w:w="24"/>
              <w:right w:type="dxa" w:w="50"/>
            </w:tcMar>
            <w:vAlign w:val="center"/>
          </w:tcPr>
          <w:p>
            <w:pPr>
              <w:spacing w:after="0"/>
              <w:jc w:val="center"/>
            </w:pPr>
            <w:r>
              <w:rPr>
                <w:rFonts w:ascii="Times New Roman" w:cs="Times New Roman" w:eastAsia="Times New Roman" w:hAnsi="Times New Roman"/>
                <w:b w:val="false"/>
                <w:bCs w:val="false"/>
                <w:sz w:val="14"/>
                <w:szCs w:val="14"/>
              </w:rPr>
              <w:t xml:space="preserve">0.74 ± 0.05</w:t>
            </w:r>
          </w:p>
        </w:tc>
        <w:tc>
          <w:tcPr>
            <w:tcW w:type="dxa" w:w="1190"/>
            <w:tcMar>
              <w:top w:type="dxa" w:w="24"/>
              <w:left w:type="dxa" w:w="50"/>
              <w:bottom w:type="dxa" w:w="24"/>
              <w:right w:type="dxa" w:w="50"/>
            </w:tcMar>
            <w:vAlign w:val="center"/>
          </w:tcPr>
          <w:p>
            <w:pPr>
              <w:spacing w:after="0"/>
              <w:jc w:val="center"/>
            </w:pPr>
            <w:r>
              <w:rPr>
                <w:rFonts w:ascii="Times New Roman" w:cs="Times New Roman" w:eastAsia="Times New Roman" w:hAnsi="Times New Roman"/>
                <w:b w:val="false"/>
                <w:bCs w:val="false"/>
                <w:sz w:val="14"/>
                <w:szCs w:val="14"/>
              </w:rPr>
              <w:t xml:space="preserve">0.85 ± 0.01</w:t>
            </w:r>
          </w:p>
        </w:tc>
        <w:tc>
          <w:tcPr>
            <w:tcW w:type="dxa" w:w="1190"/>
            <w:tcMar>
              <w:top w:type="dxa" w:w="24"/>
              <w:left w:type="dxa" w:w="50"/>
              <w:bottom w:type="dxa" w:w="24"/>
              <w:right w:type="dxa" w:w="50"/>
            </w:tcMar>
            <w:vAlign w:val="center"/>
          </w:tcPr>
          <w:p>
            <w:pPr>
              <w:spacing w:after="0"/>
              <w:jc w:val="center"/>
            </w:pPr>
            <w:r>
              <w:rPr>
                <w:rFonts w:ascii="Times New Roman" w:cs="Times New Roman" w:eastAsia="Times New Roman" w:hAnsi="Times New Roman"/>
                <w:b w:val="false"/>
                <w:bCs w:val="false"/>
                <w:sz w:val="14"/>
                <w:szCs w:val="14"/>
              </w:rPr>
              <w:t xml:space="preserve">0.63 ± 0.05</w:t>
            </w:r>
          </w:p>
        </w:tc>
        <w:tc>
          <w:tcPr>
            <w:tcW w:type="dxa" w:w="1190"/>
            <w:tcMar>
              <w:top w:type="dxa" w:w="24"/>
              <w:left w:type="dxa" w:w="50"/>
              <w:bottom w:type="dxa" w:w="24"/>
              <w:right w:type="dxa" w:w="50"/>
            </w:tcMar>
            <w:vAlign w:val="center"/>
          </w:tcPr>
          <w:p>
            <w:pPr>
              <w:spacing w:after="0"/>
              <w:jc w:val="center"/>
            </w:pPr>
            <w:r>
              <w:rPr>
                <w:rFonts w:ascii="Times New Roman" w:cs="Times New Roman" w:eastAsia="Times New Roman" w:hAnsi="Times New Roman"/>
                <w:b w:val="false"/>
                <w:bCs w:val="false"/>
                <w:sz w:val="14"/>
                <w:szCs w:val="14"/>
              </w:rPr>
              <w:t xml:space="preserve">−0.06</w:t>
            </w:r>
          </w:p>
        </w:tc>
      </w:tr>
      <w:tr>
        <w:tc>
          <w:tcPr>
            <w:tcW w:type="dxa" w:w="3300"/>
            <w:tcMar>
              <w:top w:type="dxa" w:w="24"/>
              <w:left w:type="dxa" w:w="50"/>
              <w:bottom w:type="dxa" w:w="24"/>
              <w:right w:type="dxa" w:w="50"/>
            </w:tcMar>
            <w:vAlign w:val="center"/>
          </w:tcPr>
          <w:p>
            <w:pPr>
              <w:spacing w:after="0"/>
              <w:jc w:val="left"/>
            </w:pPr>
            <w:r>
              <w:rPr>
                <w:rFonts w:ascii="Times New Roman" w:cs="Times New Roman" w:eastAsia="Times New Roman" w:hAnsi="Times New Roman"/>
                <w:b w:val="false"/>
                <w:bCs w:val="false"/>
                <w:sz w:val="14"/>
                <w:szCs w:val="14"/>
              </w:rPr>
              <w:t xml:space="preserve">− Focal Loss (plain BCE)</w:t>
            </w:r>
          </w:p>
        </w:tc>
        <w:tc>
          <w:tcPr>
            <w:tcW w:type="dxa" w:w="1190"/>
            <w:tcMar>
              <w:top w:type="dxa" w:w="24"/>
              <w:left w:type="dxa" w:w="50"/>
              <w:bottom w:type="dxa" w:w="24"/>
              <w:right w:type="dxa" w:w="50"/>
            </w:tcMar>
            <w:vAlign w:val="center"/>
          </w:tcPr>
          <w:p>
            <w:pPr>
              <w:spacing w:after="0"/>
              <w:jc w:val="center"/>
            </w:pPr>
            <w:r>
              <w:rPr>
                <w:rFonts w:ascii="Times New Roman" w:cs="Times New Roman" w:eastAsia="Times New Roman" w:hAnsi="Times New Roman"/>
                <w:b w:val="false"/>
                <w:bCs w:val="false"/>
                <w:sz w:val="14"/>
                <w:szCs w:val="14"/>
              </w:rPr>
              <w:t xml:space="preserve">0.85 ± 0.04</w:t>
            </w:r>
          </w:p>
        </w:tc>
        <w:tc>
          <w:tcPr>
            <w:tcW w:type="dxa" w:w="1190"/>
            <w:tcMar>
              <w:top w:type="dxa" w:w="24"/>
              <w:left w:type="dxa" w:w="50"/>
              <w:bottom w:type="dxa" w:w="24"/>
              <w:right w:type="dxa" w:w="50"/>
            </w:tcMar>
            <w:vAlign w:val="center"/>
          </w:tcPr>
          <w:p>
            <w:pPr>
              <w:spacing w:after="0"/>
              <w:jc w:val="center"/>
            </w:pPr>
            <w:r>
              <w:rPr>
                <w:rFonts w:ascii="Times New Roman" w:cs="Times New Roman" w:eastAsia="Times New Roman" w:hAnsi="Times New Roman"/>
                <w:b w:val="false"/>
                <w:bCs w:val="false"/>
                <w:sz w:val="14"/>
                <w:szCs w:val="14"/>
              </w:rPr>
              <w:t xml:space="preserve">0.79 ± 0.03</w:t>
            </w:r>
          </w:p>
        </w:tc>
        <w:tc>
          <w:tcPr>
            <w:tcW w:type="dxa" w:w="1190"/>
            <w:tcMar>
              <w:top w:type="dxa" w:w="24"/>
              <w:left w:type="dxa" w:w="50"/>
              <w:bottom w:type="dxa" w:w="24"/>
              <w:right w:type="dxa" w:w="50"/>
            </w:tcMar>
            <w:vAlign w:val="center"/>
          </w:tcPr>
          <w:p>
            <w:pPr>
              <w:spacing w:after="0"/>
              <w:jc w:val="center"/>
            </w:pPr>
            <w:r>
              <w:rPr>
                <w:rFonts w:ascii="Times New Roman" w:cs="Times New Roman" w:eastAsia="Times New Roman" w:hAnsi="Times New Roman"/>
                <w:b w:val="false"/>
                <w:bCs w:val="false"/>
                <w:sz w:val="14"/>
                <w:szCs w:val="14"/>
              </w:rPr>
              <w:t xml:space="preserve">0.82 ± 0.00</w:t>
            </w:r>
          </w:p>
        </w:tc>
        <w:tc>
          <w:tcPr>
            <w:tcW w:type="dxa" w:w="1190"/>
            <w:tcMar>
              <w:top w:type="dxa" w:w="24"/>
              <w:left w:type="dxa" w:w="50"/>
              <w:bottom w:type="dxa" w:w="24"/>
              <w:right w:type="dxa" w:w="50"/>
            </w:tcMar>
            <w:vAlign w:val="center"/>
          </w:tcPr>
          <w:p>
            <w:pPr>
              <w:spacing w:after="0"/>
              <w:jc w:val="center"/>
            </w:pPr>
            <w:r>
              <w:rPr>
                <w:rFonts w:ascii="Times New Roman" w:cs="Times New Roman" w:eastAsia="Times New Roman" w:hAnsi="Times New Roman"/>
                <w:b w:val="false"/>
                <w:bCs w:val="false"/>
                <w:sz w:val="14"/>
                <w:szCs w:val="14"/>
              </w:rPr>
              <w:t xml:space="preserve">0.98 ± 0.01</w:t>
            </w:r>
          </w:p>
        </w:tc>
        <w:tc>
          <w:tcPr>
            <w:tcW w:type="dxa" w:w="1190"/>
            <w:tcMar>
              <w:top w:type="dxa" w:w="24"/>
              <w:left w:type="dxa" w:w="50"/>
              <w:bottom w:type="dxa" w:w="24"/>
              <w:right w:type="dxa" w:w="50"/>
            </w:tcMar>
            <w:vAlign w:val="center"/>
          </w:tcPr>
          <w:p>
            <w:pPr>
              <w:spacing w:after="0"/>
              <w:jc w:val="center"/>
            </w:pPr>
            <w:r>
              <w:rPr>
                <w:rFonts w:ascii="Times New Roman" w:cs="Times New Roman" w:eastAsia="Times New Roman" w:hAnsi="Times New Roman"/>
                <w:b w:val="false"/>
                <w:bCs w:val="false"/>
                <w:sz w:val="14"/>
                <w:szCs w:val="14"/>
              </w:rPr>
              <w:t xml:space="preserve">0.74 ± 0.02</w:t>
            </w:r>
          </w:p>
        </w:tc>
        <w:tc>
          <w:tcPr>
            <w:tcW w:type="dxa" w:w="1190"/>
            <w:tcMar>
              <w:top w:type="dxa" w:w="24"/>
              <w:left w:type="dxa" w:w="50"/>
              <w:bottom w:type="dxa" w:w="24"/>
              <w:right w:type="dxa" w:w="50"/>
            </w:tcMar>
            <w:vAlign w:val="center"/>
          </w:tcPr>
          <w:p>
            <w:pPr>
              <w:spacing w:after="0"/>
              <w:jc w:val="center"/>
            </w:pPr>
            <w:r>
              <w:rPr>
                <w:rFonts w:ascii="Times New Roman" w:cs="Times New Roman" w:eastAsia="Times New Roman" w:hAnsi="Times New Roman"/>
                <w:b w:val="false"/>
                <w:bCs w:val="false"/>
                <w:sz w:val="14"/>
                <w:szCs w:val="14"/>
              </w:rPr>
              <w:t xml:space="preserve">+0.02*</w:t>
            </w:r>
          </w:p>
        </w:tc>
      </w:tr>
      <w:tr>
        <w:tc>
          <w:tcPr>
            <w:tcW w:type="dxa" w:w="3300"/>
            <w:tcMar>
              <w:top w:type="dxa" w:w="24"/>
              <w:left w:type="dxa" w:w="50"/>
              <w:bottom w:type="dxa" w:w="24"/>
              <w:right w:type="dxa" w:w="50"/>
            </w:tcMar>
            <w:vAlign w:val="center"/>
          </w:tcPr>
          <w:p>
            <w:pPr>
              <w:spacing w:after="0"/>
              <w:jc w:val="left"/>
            </w:pPr>
            <w:r>
              <w:rPr>
                <w:rFonts w:ascii="Times New Roman" w:cs="Times New Roman" w:eastAsia="Times New Roman" w:hAnsi="Times New Roman"/>
                <w:b w:val="false"/>
                <w:bCs w:val="false"/>
                <w:sz w:val="14"/>
                <w:szCs w:val="14"/>
              </w:rPr>
              <w:t xml:space="preserve">− Differential privacy†</w:t>
            </w:r>
          </w:p>
        </w:tc>
        <w:tc>
          <w:tcPr>
            <w:tcW w:type="dxa" w:w="1190"/>
            <w:tcMar>
              <w:top w:type="dxa" w:w="24"/>
              <w:left w:type="dxa" w:w="50"/>
              <w:bottom w:type="dxa" w:w="24"/>
              <w:right w:type="dxa" w:w="50"/>
            </w:tcMar>
            <w:vAlign w:val="center"/>
          </w:tcPr>
          <w:p>
            <w:pPr>
              <w:spacing w:after="0"/>
              <w:jc w:val="center"/>
            </w:pPr>
            <w:r>
              <w:rPr>
                <w:rFonts w:ascii="Times New Roman" w:cs="Times New Roman" w:eastAsia="Times New Roman" w:hAnsi="Times New Roman"/>
                <w:b w:val="false"/>
                <w:bCs w:val="false"/>
                <w:sz w:val="14"/>
                <w:szCs w:val="14"/>
              </w:rPr>
              <w:t xml:space="preserve">0.86 ± 0.06</w:t>
            </w:r>
          </w:p>
        </w:tc>
        <w:tc>
          <w:tcPr>
            <w:tcW w:type="dxa" w:w="1190"/>
            <w:tcMar>
              <w:top w:type="dxa" w:w="24"/>
              <w:left w:type="dxa" w:w="50"/>
              <w:bottom w:type="dxa" w:w="24"/>
              <w:right w:type="dxa" w:w="50"/>
            </w:tcMar>
            <w:vAlign w:val="center"/>
          </w:tcPr>
          <w:p>
            <w:pPr>
              <w:spacing w:after="0"/>
              <w:jc w:val="center"/>
            </w:pPr>
            <w:r>
              <w:rPr>
                <w:rFonts w:ascii="Times New Roman" w:cs="Times New Roman" w:eastAsia="Times New Roman" w:hAnsi="Times New Roman"/>
                <w:b w:val="false"/>
                <w:bCs w:val="false"/>
                <w:sz w:val="14"/>
                <w:szCs w:val="14"/>
              </w:rPr>
              <w:t xml:space="preserve">0.73 ± 0.09</w:t>
            </w:r>
          </w:p>
        </w:tc>
        <w:tc>
          <w:tcPr>
            <w:tcW w:type="dxa" w:w="1190"/>
            <w:tcMar>
              <w:top w:type="dxa" w:w="24"/>
              <w:left w:type="dxa" w:w="50"/>
              <w:bottom w:type="dxa" w:w="24"/>
              <w:right w:type="dxa" w:w="50"/>
            </w:tcMar>
            <w:vAlign w:val="center"/>
          </w:tcPr>
          <w:p>
            <w:pPr>
              <w:spacing w:after="0"/>
              <w:jc w:val="center"/>
            </w:pPr>
            <w:r>
              <w:rPr>
                <w:rFonts w:ascii="Times New Roman" w:cs="Times New Roman" w:eastAsia="Times New Roman" w:hAnsi="Times New Roman"/>
                <w:b w:val="false"/>
                <w:bCs w:val="false"/>
                <w:sz w:val="14"/>
                <w:szCs w:val="14"/>
              </w:rPr>
              <w:t xml:space="preserve">0.78 ± 0.03</w:t>
            </w:r>
          </w:p>
        </w:tc>
        <w:tc>
          <w:tcPr>
            <w:tcW w:type="dxa" w:w="1190"/>
            <w:tcMar>
              <w:top w:type="dxa" w:w="24"/>
              <w:left w:type="dxa" w:w="50"/>
              <w:bottom w:type="dxa" w:w="24"/>
              <w:right w:type="dxa" w:w="50"/>
            </w:tcMar>
            <w:vAlign w:val="center"/>
          </w:tcPr>
          <w:p>
            <w:pPr>
              <w:spacing w:after="0"/>
              <w:jc w:val="center"/>
            </w:pPr>
            <w:r>
              <w:rPr>
                <w:rFonts w:ascii="Times New Roman" w:cs="Times New Roman" w:eastAsia="Times New Roman" w:hAnsi="Times New Roman"/>
                <w:b w:val="false"/>
                <w:bCs w:val="false"/>
                <w:sz w:val="14"/>
                <w:szCs w:val="14"/>
              </w:rPr>
              <w:t xml:space="preserve">0.97 ± 0.01</w:t>
            </w:r>
          </w:p>
        </w:tc>
        <w:tc>
          <w:tcPr>
            <w:tcW w:type="dxa" w:w="1190"/>
            <w:tcMar>
              <w:top w:type="dxa" w:w="24"/>
              <w:left w:type="dxa" w:w="50"/>
              <w:bottom w:type="dxa" w:w="24"/>
              <w:right w:type="dxa" w:w="50"/>
            </w:tcMar>
            <w:vAlign w:val="center"/>
          </w:tcPr>
          <w:p>
            <w:pPr>
              <w:spacing w:after="0"/>
              <w:jc w:val="center"/>
            </w:pPr>
            <w:r>
              <w:rPr>
                <w:rFonts w:ascii="Times New Roman" w:cs="Times New Roman" w:eastAsia="Times New Roman" w:hAnsi="Times New Roman"/>
                <w:b w:val="false"/>
                <w:bCs w:val="false"/>
                <w:sz w:val="14"/>
                <w:szCs w:val="14"/>
              </w:rPr>
              <w:t xml:space="preserve">0.80 ± 0.01</w:t>
            </w:r>
          </w:p>
        </w:tc>
        <w:tc>
          <w:tcPr>
            <w:tcW w:type="dxa" w:w="1190"/>
            <w:tcMar>
              <w:top w:type="dxa" w:w="24"/>
              <w:left w:type="dxa" w:w="50"/>
              <w:bottom w:type="dxa" w:w="24"/>
              <w:right w:type="dxa" w:w="50"/>
            </w:tcMar>
            <w:vAlign w:val="center"/>
          </w:tcPr>
          <w:p>
            <w:pPr>
              <w:spacing w:after="0"/>
              <w:jc w:val="center"/>
            </w:pPr>
            <w:r>
              <w:rPr>
                <w:rFonts w:ascii="Times New Roman" w:cs="Times New Roman" w:eastAsia="Times New Roman" w:hAnsi="Times New Roman"/>
                <w:b w:val="false"/>
                <w:bCs w:val="false"/>
                <w:sz w:val="14"/>
                <w:szCs w:val="14"/>
              </w:rPr>
              <w:t xml:space="preserve">−0.01</w:t>
            </w:r>
          </w:p>
        </w:tc>
      </w:tr>
      <w:tr>
        <w:tc>
          <w:tcPr>
            <w:tcW w:type="dxa" w:w="3300"/>
            <w:tcMar>
              <w:top w:type="dxa" w:w="24"/>
              <w:left w:type="dxa" w:w="50"/>
              <w:bottom w:type="dxa" w:w="24"/>
              <w:right w:type="dxa" w:w="50"/>
            </w:tcMar>
            <w:vAlign w:val="center"/>
          </w:tcPr>
          <w:p>
            <w:pPr>
              <w:spacing w:after="0"/>
              <w:jc w:val="left"/>
            </w:pPr>
            <w:r>
              <w:rPr>
                <w:rFonts w:ascii="Times New Roman" w:cs="Times New Roman" w:eastAsia="Times New Roman" w:hAnsi="Times New Roman"/>
                <w:b w:val="false"/>
                <w:bCs w:val="false"/>
                <w:sz w:val="14"/>
                <w:szCs w:val="14"/>
              </w:rPr>
              <w:t xml:space="preserve">− Adaptive aggregation (vanilla FedAvg)</w:t>
            </w:r>
          </w:p>
        </w:tc>
        <w:tc>
          <w:tcPr>
            <w:tcW w:type="dxa" w:w="1190"/>
            <w:tcMar>
              <w:top w:type="dxa" w:w="24"/>
              <w:left w:type="dxa" w:w="50"/>
              <w:bottom w:type="dxa" w:w="24"/>
              <w:right w:type="dxa" w:w="50"/>
            </w:tcMar>
            <w:vAlign w:val="center"/>
          </w:tcPr>
          <w:p>
            <w:pPr>
              <w:spacing w:after="0"/>
              <w:jc w:val="center"/>
            </w:pPr>
            <w:r>
              <w:rPr>
                <w:rFonts w:ascii="Times New Roman" w:cs="Times New Roman" w:eastAsia="Times New Roman" w:hAnsi="Times New Roman"/>
                <w:b w:val="false"/>
                <w:bCs w:val="false"/>
                <w:sz w:val="14"/>
                <w:szCs w:val="14"/>
              </w:rPr>
              <w:t xml:space="preserve">0.85 ± 0.03</w:t>
            </w:r>
          </w:p>
        </w:tc>
        <w:tc>
          <w:tcPr>
            <w:tcW w:type="dxa" w:w="1190"/>
            <w:tcMar>
              <w:top w:type="dxa" w:w="24"/>
              <w:left w:type="dxa" w:w="50"/>
              <w:bottom w:type="dxa" w:w="24"/>
              <w:right w:type="dxa" w:w="50"/>
            </w:tcMar>
            <w:vAlign w:val="center"/>
          </w:tcPr>
          <w:p>
            <w:pPr>
              <w:spacing w:after="0"/>
              <w:jc w:val="center"/>
            </w:pPr>
            <w:r>
              <w:rPr>
                <w:rFonts w:ascii="Times New Roman" w:cs="Times New Roman" w:eastAsia="Times New Roman" w:hAnsi="Times New Roman"/>
                <w:b w:val="false"/>
                <w:bCs w:val="false"/>
                <w:sz w:val="14"/>
                <w:szCs w:val="14"/>
              </w:rPr>
              <w:t xml:space="preserve">0.75 ± 0.06</w:t>
            </w:r>
          </w:p>
        </w:tc>
        <w:tc>
          <w:tcPr>
            <w:tcW w:type="dxa" w:w="1190"/>
            <w:tcMar>
              <w:top w:type="dxa" w:w="24"/>
              <w:left w:type="dxa" w:w="50"/>
              <w:bottom w:type="dxa" w:w="24"/>
              <w:right w:type="dxa" w:w="50"/>
            </w:tcMar>
            <w:vAlign w:val="center"/>
          </w:tcPr>
          <w:p>
            <w:pPr>
              <w:spacing w:after="0"/>
              <w:jc w:val="center"/>
            </w:pPr>
            <w:r>
              <w:rPr>
                <w:rFonts w:ascii="Times New Roman" w:cs="Times New Roman" w:eastAsia="Times New Roman" w:hAnsi="Times New Roman"/>
                <w:b w:val="false"/>
                <w:bCs w:val="false"/>
                <w:sz w:val="14"/>
                <w:szCs w:val="14"/>
              </w:rPr>
              <w:t xml:space="preserve">0.79 ± 0.02</w:t>
            </w:r>
          </w:p>
        </w:tc>
        <w:tc>
          <w:tcPr>
            <w:tcW w:type="dxa" w:w="1190"/>
            <w:tcMar>
              <w:top w:type="dxa" w:w="24"/>
              <w:left w:type="dxa" w:w="50"/>
              <w:bottom w:type="dxa" w:w="24"/>
              <w:right w:type="dxa" w:w="50"/>
            </w:tcMar>
            <w:vAlign w:val="center"/>
          </w:tcPr>
          <w:p>
            <w:pPr>
              <w:spacing w:after="0"/>
              <w:jc w:val="center"/>
            </w:pPr>
            <w:r>
              <w:rPr>
                <w:rFonts w:ascii="Times New Roman" w:cs="Times New Roman" w:eastAsia="Times New Roman" w:hAnsi="Times New Roman"/>
                <w:b w:val="false"/>
                <w:bCs w:val="false"/>
                <w:sz w:val="14"/>
                <w:szCs w:val="14"/>
              </w:rPr>
              <w:t xml:space="preserve">0.97 ± 0.01</w:t>
            </w:r>
          </w:p>
        </w:tc>
        <w:tc>
          <w:tcPr>
            <w:tcW w:type="dxa" w:w="1190"/>
            <w:tcMar>
              <w:top w:type="dxa" w:w="24"/>
              <w:left w:type="dxa" w:w="50"/>
              <w:bottom w:type="dxa" w:w="24"/>
              <w:right w:type="dxa" w:w="50"/>
            </w:tcMar>
            <w:vAlign w:val="center"/>
          </w:tcPr>
          <w:p>
            <w:pPr>
              <w:spacing w:after="0"/>
              <w:jc w:val="center"/>
            </w:pPr>
            <w:r>
              <w:rPr>
                <w:rFonts w:ascii="Times New Roman" w:cs="Times New Roman" w:eastAsia="Times New Roman" w:hAnsi="Times New Roman"/>
                <w:b w:val="false"/>
                <w:bCs w:val="false"/>
                <w:sz w:val="14"/>
                <w:szCs w:val="14"/>
              </w:rPr>
              <w:t xml:space="preserve">0.73 ± 0.02</w:t>
            </w:r>
          </w:p>
        </w:tc>
        <w:tc>
          <w:tcPr>
            <w:tcW w:type="dxa" w:w="1190"/>
            <w:tcMar>
              <w:top w:type="dxa" w:w="24"/>
              <w:left w:type="dxa" w:w="50"/>
              <w:bottom w:type="dxa" w:w="24"/>
              <w:right w:type="dxa" w:w="50"/>
            </w:tcMar>
            <w:vAlign w:val="center"/>
          </w:tcPr>
          <w:p>
            <w:pPr>
              <w:spacing w:after="0"/>
              <w:jc w:val="center"/>
            </w:pPr>
            <w:r>
              <w:rPr>
                <w:rFonts w:ascii="Times New Roman" w:cs="Times New Roman" w:eastAsia="Times New Roman" w:hAnsi="Times New Roman"/>
                <w:b w:val="false"/>
                <w:bCs w:val="false"/>
                <w:sz w:val="14"/>
                <w:szCs w:val="14"/>
              </w:rPr>
              <w:t xml:space="preserve">+0.00</w:t>
            </w:r>
          </w:p>
        </w:tc>
      </w:tr>
    </w:tbl>
    <w:p>
      <w:pPr>
        <w:spacing w:after="200" w:before="60"/>
      </w:pPr>
      <w:r>
        <w:rPr>
          <w:rFonts w:ascii="Times New Roman" w:cs="Times New Roman" w:eastAsia="Times New Roman" w:hAnsi="Times New Roman"/>
          <w:i/>
          <w:iCs/>
          <w:sz w:val="15"/>
          <w:szCs w:val="15"/>
        </w:rPr>
        <w:t xml:space="preserve">* Focal Loss is the system's current default (Section III.D); a positive ΔF1 here means removing it in favor of plain BCE improves F1. This is the one row in this table not reflected in the reference system used elsewhere in this paper (Table I, IV, V) — see Section III.D.</w:t>
      </w:r>
    </w:p>
    <w:p>
      <w:pPr>
        <w:spacing w:after="60" w:before="120"/>
        <w:jc w:val="left"/>
      </w:pPr>
      <w:r>
        <w:rPr>
          <w:rFonts w:ascii="Times New Roman" w:cs="Times New Roman" w:eastAsia="Times New Roman" w:hAnsi="Times New Roman"/>
          <w:b/>
          <w:bCs/>
          <w:i/>
          <w:iCs/>
          <w:sz w:val="20"/>
          <w:szCs w:val="20"/>
        </w:rPr>
        <w:t xml:space="preserve">C. Adaptive Aggregation Under Injected Drift (Table IV)</w:t>
      </w:r>
    </w:p>
    <w:p>
      <w:pPr>
        <w:spacing w:after="90" w:line="232"/>
        <w:ind w:firstLine="200"/>
        <w:jc w:val="both"/>
      </w:pPr>
      <w:r>
        <w:rPr>
          <w:rFonts w:ascii="Times New Roman" w:cs="Times New Roman" w:eastAsia="Times New Roman" w:hAnsi="Times New Roman"/>
          <w:sz w:val="20"/>
          <w:szCs w:val="20"/>
        </w:rPr>
        <w:t xml:space="preserve">Under drift injection, vanilla FedAvg collapses (F1 = 0.23) while adaptive aggregation holds substantially better (F1 = 0.66; ΔF1 = +0.43). This confirms the protective mechanism at full scale, though it is a smaller effect than at pilot scale, where adaptive aggregation held almost steady (F1 = 0.76) against vanilla's collapse to 0.10 — at full scale, adaptive aggregation substantially mitigates but does not eliminate drift damage.</w:t>
      </w:r>
    </w:p>
    <w:p>
      <w:pPr>
        <w:spacing w:after="90" w:line="232"/>
        <w:ind w:firstLine="200"/>
        <w:jc w:val="both"/>
      </w:pPr>
      <w:r>
        <w:rPr>
          <w:rFonts w:ascii="Times New Roman" w:cs="Times New Roman" w:eastAsia="Times New Roman" w:hAnsi="Times New Roman"/>
          <w:sz w:val="20"/>
          <w:szCs w:val="20"/>
        </w:rPr>
        <w:t xml:space="preserve">Both arms show very large standard deviations (0.19-0.53), attributed to extreme bank-size skew: the client targeted by drift is, by design, the federation's largest, and how dominant it is varies by which random partition each seed draws. We report this as a real, directionally consistent effect, while flagging the variance as a genuine limitation (Section VI).</w:t>
      </w:r>
    </w:p>
    <w:p>
      <w:pPr>
        <w:spacing w:after="90"/>
        <w:jc w:val="center"/>
      </w:pPr>
      <w:r>
        <w:rPr>
          <w:rFonts w:ascii="Times New Roman" w:cs="Times New Roman" w:eastAsia="Times New Roman" w:hAnsi="Times New Roman"/>
          <w:b/>
          <w:bCs/>
          <w:sz w:val="17"/>
          <w:szCs w:val="17"/>
        </w:rPr>
        <w:t xml:space="preserve">TABLE IV: ADAPTIVE AGGREGATION UNDER INJECTED DRIFT</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3300"/>
        <w:gridCol w:w="1190"/>
        <w:gridCol w:w="1190"/>
        <w:gridCol w:w="1190"/>
        <w:gridCol w:w="1190"/>
        <w:gridCol w:w="1190"/>
        <w:gridCol w:w="1190"/>
      </w:tblGrid>
      <w:tr>
        <w:trPr>
          <w:tblHeader/>
        </w:trPr>
        <w:tc>
          <w:tcPr>
            <w:tcW w:type="dxa" w:w="3300"/>
            <w:shd w:fill="D9D9D9" w:val="clear"/>
            <w:tcMar>
              <w:top w:type="dxa" w:w="24"/>
              <w:left w:type="dxa" w:w="50"/>
              <w:bottom w:type="dxa" w:w="24"/>
              <w:right w:type="dxa" w:w="50"/>
            </w:tcMar>
            <w:vAlign w:val="center"/>
          </w:tcPr>
          <w:p>
            <w:pPr>
              <w:spacing w:after="0"/>
              <w:jc w:val="center"/>
            </w:pPr>
            <w:r>
              <w:rPr>
                <w:rFonts w:ascii="Times New Roman" w:cs="Times New Roman" w:eastAsia="Times New Roman" w:hAnsi="Times New Roman"/>
                <w:b/>
                <w:bCs/>
                <w:sz w:val="14"/>
                <w:szCs w:val="14"/>
              </w:rPr>
              <w:t xml:space="preserve">Variant</w:t>
            </w:r>
          </w:p>
        </w:tc>
        <w:tc>
          <w:tcPr>
            <w:tcW w:type="dxa" w:w="1190"/>
            <w:shd w:fill="D9D9D9" w:val="clear"/>
            <w:tcMar>
              <w:top w:type="dxa" w:w="24"/>
              <w:left w:type="dxa" w:w="50"/>
              <w:bottom w:type="dxa" w:w="24"/>
              <w:right w:type="dxa" w:w="50"/>
            </w:tcMar>
            <w:vAlign w:val="center"/>
          </w:tcPr>
          <w:p>
            <w:pPr>
              <w:spacing w:after="0"/>
              <w:jc w:val="center"/>
            </w:pPr>
            <w:r>
              <w:rPr>
                <w:rFonts w:ascii="Times New Roman" w:cs="Times New Roman" w:eastAsia="Times New Roman" w:hAnsi="Times New Roman"/>
                <w:b/>
                <w:bCs/>
                <w:sz w:val="14"/>
                <w:szCs w:val="14"/>
              </w:rPr>
              <w:t xml:space="preserve">Precision</w:t>
            </w:r>
          </w:p>
        </w:tc>
        <w:tc>
          <w:tcPr>
            <w:tcW w:type="dxa" w:w="1190"/>
            <w:shd w:fill="D9D9D9" w:val="clear"/>
            <w:tcMar>
              <w:top w:type="dxa" w:w="24"/>
              <w:left w:type="dxa" w:w="50"/>
              <w:bottom w:type="dxa" w:w="24"/>
              <w:right w:type="dxa" w:w="50"/>
            </w:tcMar>
            <w:vAlign w:val="center"/>
          </w:tcPr>
          <w:p>
            <w:pPr>
              <w:spacing w:after="0"/>
              <w:jc w:val="center"/>
            </w:pPr>
            <w:r>
              <w:rPr>
                <w:rFonts w:ascii="Times New Roman" w:cs="Times New Roman" w:eastAsia="Times New Roman" w:hAnsi="Times New Roman"/>
                <w:b/>
                <w:bCs/>
                <w:sz w:val="14"/>
                <w:szCs w:val="14"/>
              </w:rPr>
              <w:t xml:space="preserve">Recall</w:t>
            </w:r>
          </w:p>
        </w:tc>
        <w:tc>
          <w:tcPr>
            <w:tcW w:type="dxa" w:w="1190"/>
            <w:shd w:fill="D9D9D9" w:val="clear"/>
            <w:tcMar>
              <w:top w:type="dxa" w:w="24"/>
              <w:left w:type="dxa" w:w="50"/>
              <w:bottom w:type="dxa" w:w="24"/>
              <w:right w:type="dxa" w:w="50"/>
            </w:tcMar>
            <w:vAlign w:val="center"/>
          </w:tcPr>
          <w:p>
            <w:pPr>
              <w:spacing w:after="0"/>
              <w:jc w:val="center"/>
            </w:pPr>
            <w:r>
              <w:rPr>
                <w:rFonts w:ascii="Times New Roman" w:cs="Times New Roman" w:eastAsia="Times New Roman" w:hAnsi="Times New Roman"/>
                <w:b/>
                <w:bCs/>
                <w:sz w:val="14"/>
                <w:szCs w:val="14"/>
              </w:rPr>
              <w:t xml:space="preserve">F1</w:t>
            </w:r>
          </w:p>
        </w:tc>
        <w:tc>
          <w:tcPr>
            <w:tcW w:type="dxa" w:w="1190"/>
            <w:shd w:fill="D9D9D9" w:val="clear"/>
            <w:tcMar>
              <w:top w:type="dxa" w:w="24"/>
              <w:left w:type="dxa" w:w="50"/>
              <w:bottom w:type="dxa" w:w="24"/>
              <w:right w:type="dxa" w:w="50"/>
            </w:tcMar>
            <w:vAlign w:val="center"/>
          </w:tcPr>
          <w:p>
            <w:pPr>
              <w:spacing w:after="0"/>
              <w:jc w:val="center"/>
            </w:pPr>
            <w:r>
              <w:rPr>
                <w:rFonts w:ascii="Times New Roman" w:cs="Times New Roman" w:eastAsia="Times New Roman" w:hAnsi="Times New Roman"/>
                <w:b/>
                <w:bCs/>
                <w:sz w:val="14"/>
                <w:szCs w:val="14"/>
              </w:rPr>
              <w:t xml:space="preserve">ROC-AUC</w:t>
            </w:r>
          </w:p>
        </w:tc>
        <w:tc>
          <w:tcPr>
            <w:tcW w:type="dxa" w:w="1190"/>
            <w:shd w:fill="D9D9D9" w:val="clear"/>
            <w:tcMar>
              <w:top w:type="dxa" w:w="24"/>
              <w:left w:type="dxa" w:w="50"/>
              <w:bottom w:type="dxa" w:w="24"/>
              <w:right w:type="dxa" w:w="50"/>
            </w:tcMar>
            <w:vAlign w:val="center"/>
          </w:tcPr>
          <w:p>
            <w:pPr>
              <w:spacing w:after="0"/>
              <w:jc w:val="center"/>
            </w:pPr>
            <w:r>
              <w:rPr>
                <w:rFonts w:ascii="Times New Roman" w:cs="Times New Roman" w:eastAsia="Times New Roman" w:hAnsi="Times New Roman"/>
                <w:b/>
                <w:bCs/>
                <w:sz w:val="14"/>
                <w:szCs w:val="14"/>
              </w:rPr>
              <w:t xml:space="preserve">PR-AUC</w:t>
            </w:r>
          </w:p>
        </w:tc>
        <w:tc>
          <w:tcPr>
            <w:tcW w:type="dxa" w:w="1190"/>
            <w:shd w:fill="D9D9D9" w:val="clear"/>
            <w:tcMar>
              <w:top w:type="dxa" w:w="24"/>
              <w:left w:type="dxa" w:w="50"/>
              <w:bottom w:type="dxa" w:w="24"/>
              <w:right w:type="dxa" w:w="50"/>
            </w:tcMar>
            <w:vAlign w:val="center"/>
          </w:tcPr>
          <w:p>
            <w:pPr>
              <w:spacing w:after="0"/>
              <w:jc w:val="center"/>
            </w:pPr>
            <w:r>
              <w:rPr>
                <w:rFonts w:ascii="Times New Roman" w:cs="Times New Roman" w:eastAsia="Times New Roman" w:hAnsi="Times New Roman"/>
                <w:b/>
                <w:bCs/>
                <w:sz w:val="14"/>
                <w:szCs w:val="14"/>
              </w:rPr>
              <w:t xml:space="preserve">ΔF1</w:t>
            </w:r>
          </w:p>
        </w:tc>
      </w:tr>
      <w:tr>
        <w:tc>
          <w:tcPr>
            <w:tcW w:type="dxa" w:w="3300"/>
            <w:tcMar>
              <w:top w:type="dxa" w:w="24"/>
              <w:left w:type="dxa" w:w="50"/>
              <w:bottom w:type="dxa" w:w="24"/>
              <w:right w:type="dxa" w:w="50"/>
            </w:tcMar>
            <w:vAlign w:val="center"/>
          </w:tcPr>
          <w:p>
            <w:pPr>
              <w:spacing w:after="0"/>
              <w:jc w:val="left"/>
            </w:pPr>
            <w:r>
              <w:rPr>
                <w:rFonts w:ascii="Times New Roman" w:cs="Times New Roman" w:eastAsia="Times New Roman" w:hAnsi="Times New Roman"/>
                <w:b w:val="false"/>
                <w:bCs w:val="false"/>
                <w:sz w:val="14"/>
                <w:szCs w:val="14"/>
              </w:rPr>
              <w:t xml:space="preserve">Full system (adaptive aggregation)</w:t>
            </w:r>
          </w:p>
        </w:tc>
        <w:tc>
          <w:tcPr>
            <w:tcW w:type="dxa" w:w="1190"/>
            <w:tcMar>
              <w:top w:type="dxa" w:w="24"/>
              <w:left w:type="dxa" w:w="50"/>
              <w:bottom w:type="dxa" w:w="24"/>
              <w:right w:type="dxa" w:w="50"/>
            </w:tcMar>
            <w:vAlign w:val="center"/>
          </w:tcPr>
          <w:p>
            <w:pPr>
              <w:spacing w:after="0"/>
              <w:jc w:val="center"/>
            </w:pPr>
            <w:r>
              <w:rPr>
                <w:rFonts w:ascii="Times New Roman" w:cs="Times New Roman" w:eastAsia="Times New Roman" w:hAnsi="Times New Roman"/>
                <w:b w:val="false"/>
                <w:bCs w:val="false"/>
                <w:sz w:val="14"/>
                <w:szCs w:val="14"/>
              </w:rPr>
              <w:t xml:space="preserve">0.68 ± 0.19</w:t>
            </w:r>
          </w:p>
        </w:tc>
        <w:tc>
          <w:tcPr>
            <w:tcW w:type="dxa" w:w="1190"/>
            <w:tcMar>
              <w:top w:type="dxa" w:w="24"/>
              <w:left w:type="dxa" w:w="50"/>
              <w:bottom w:type="dxa" w:w="24"/>
              <w:right w:type="dxa" w:w="50"/>
            </w:tcMar>
            <w:vAlign w:val="center"/>
          </w:tcPr>
          <w:p>
            <w:pPr>
              <w:spacing w:after="0"/>
              <w:jc w:val="center"/>
            </w:pPr>
            <w:r>
              <w:rPr>
                <w:rFonts w:ascii="Times New Roman" w:cs="Times New Roman" w:eastAsia="Times New Roman" w:hAnsi="Times New Roman"/>
                <w:b w:val="false"/>
                <w:bCs w:val="false"/>
                <w:sz w:val="14"/>
                <w:szCs w:val="14"/>
              </w:rPr>
              <w:t xml:space="preserve">0.64 ± 0.19</w:t>
            </w:r>
          </w:p>
        </w:tc>
        <w:tc>
          <w:tcPr>
            <w:tcW w:type="dxa" w:w="1190"/>
            <w:tcMar>
              <w:top w:type="dxa" w:w="24"/>
              <w:left w:type="dxa" w:w="50"/>
              <w:bottom w:type="dxa" w:w="24"/>
              <w:right w:type="dxa" w:w="50"/>
            </w:tcMar>
            <w:vAlign w:val="center"/>
          </w:tcPr>
          <w:p>
            <w:pPr>
              <w:spacing w:after="0"/>
              <w:jc w:val="center"/>
            </w:pPr>
            <w:r>
              <w:rPr>
                <w:rFonts w:ascii="Times New Roman" w:cs="Times New Roman" w:eastAsia="Times New Roman" w:hAnsi="Times New Roman"/>
                <w:b w:val="false"/>
                <w:bCs w:val="false"/>
                <w:sz w:val="14"/>
                <w:szCs w:val="14"/>
              </w:rPr>
              <w:t xml:space="preserve">0.66 ± 0.18</w:t>
            </w:r>
          </w:p>
        </w:tc>
        <w:tc>
          <w:tcPr>
            <w:tcW w:type="dxa" w:w="1190"/>
            <w:tcMar>
              <w:top w:type="dxa" w:w="24"/>
              <w:left w:type="dxa" w:w="50"/>
              <w:bottom w:type="dxa" w:w="24"/>
              <w:right w:type="dxa" w:w="50"/>
            </w:tcMar>
            <w:vAlign w:val="center"/>
          </w:tcPr>
          <w:p>
            <w:pPr>
              <w:spacing w:after="0"/>
              <w:jc w:val="center"/>
            </w:pPr>
            <w:r>
              <w:rPr>
                <w:rFonts w:ascii="Times New Roman" w:cs="Times New Roman" w:eastAsia="Times New Roman" w:hAnsi="Times New Roman"/>
                <w:b w:val="false"/>
                <w:bCs w:val="false"/>
                <w:sz w:val="14"/>
                <w:szCs w:val="14"/>
              </w:rPr>
              <w:t xml:space="preserve">0.87 ± 0.14</w:t>
            </w:r>
          </w:p>
        </w:tc>
        <w:tc>
          <w:tcPr>
            <w:tcW w:type="dxa" w:w="1190"/>
            <w:tcMar>
              <w:top w:type="dxa" w:w="24"/>
              <w:left w:type="dxa" w:w="50"/>
              <w:bottom w:type="dxa" w:w="24"/>
              <w:right w:type="dxa" w:w="50"/>
            </w:tcMar>
            <w:vAlign w:val="center"/>
          </w:tcPr>
          <w:p>
            <w:pPr>
              <w:spacing w:after="0"/>
              <w:jc w:val="center"/>
            </w:pPr>
            <w:r>
              <w:rPr>
                <w:rFonts w:ascii="Times New Roman" w:cs="Times New Roman" w:eastAsia="Times New Roman" w:hAnsi="Times New Roman"/>
                <w:b w:val="false"/>
                <w:bCs w:val="false"/>
                <w:sz w:val="14"/>
                <w:szCs w:val="14"/>
              </w:rPr>
              <w:t xml:space="preserve">0.58 ± 0.25</w:t>
            </w:r>
          </w:p>
        </w:tc>
        <w:tc>
          <w:tcPr>
            <w:tcW w:type="dxa" w:w="1190"/>
            <w:tcMar>
              <w:top w:type="dxa" w:w="24"/>
              <w:left w:type="dxa" w:w="50"/>
              <w:bottom w:type="dxa" w:w="24"/>
              <w:right w:type="dxa" w:w="50"/>
            </w:tcMar>
            <w:vAlign w:val="center"/>
          </w:tcPr>
          <w:p>
            <w:pPr>
              <w:spacing w:after="0"/>
              <w:jc w:val="center"/>
            </w:pPr>
            <w:r>
              <w:rPr>
                <w:rFonts w:ascii="Times New Roman" w:cs="Times New Roman" w:eastAsia="Times New Roman" w:hAnsi="Times New Roman"/>
                <w:b w:val="false"/>
                <w:bCs w:val="false"/>
                <w:sz w:val="14"/>
                <w:szCs w:val="14"/>
              </w:rPr>
              <w:t xml:space="preserve">ref</w:t>
            </w:r>
          </w:p>
        </w:tc>
      </w:tr>
      <w:tr>
        <w:tc>
          <w:tcPr>
            <w:tcW w:type="dxa" w:w="3300"/>
            <w:tcMar>
              <w:top w:type="dxa" w:w="24"/>
              <w:left w:type="dxa" w:w="50"/>
              <w:bottom w:type="dxa" w:w="24"/>
              <w:right w:type="dxa" w:w="50"/>
            </w:tcMar>
            <w:vAlign w:val="center"/>
          </w:tcPr>
          <w:p>
            <w:pPr>
              <w:spacing w:after="0"/>
              <w:jc w:val="left"/>
            </w:pPr>
            <w:r>
              <w:rPr>
                <w:rFonts w:ascii="Times New Roman" w:cs="Times New Roman" w:eastAsia="Times New Roman" w:hAnsi="Times New Roman"/>
                <w:b w:val="false"/>
                <w:bCs w:val="false"/>
                <w:sz w:val="14"/>
                <w:szCs w:val="14"/>
              </w:rPr>
              <w:t xml:space="preserve">− Adaptive aggregation (vanilla FedAvg)</w:t>
            </w:r>
          </w:p>
        </w:tc>
        <w:tc>
          <w:tcPr>
            <w:tcW w:type="dxa" w:w="1190"/>
            <w:tcMar>
              <w:top w:type="dxa" w:w="24"/>
              <w:left w:type="dxa" w:w="50"/>
              <w:bottom w:type="dxa" w:w="24"/>
              <w:right w:type="dxa" w:w="50"/>
            </w:tcMar>
            <w:vAlign w:val="center"/>
          </w:tcPr>
          <w:p>
            <w:pPr>
              <w:spacing w:after="0"/>
              <w:jc w:val="center"/>
            </w:pPr>
            <w:r>
              <w:rPr>
                <w:rFonts w:ascii="Times New Roman" w:cs="Times New Roman" w:eastAsia="Times New Roman" w:hAnsi="Times New Roman"/>
                <w:b w:val="false"/>
                <w:bCs w:val="false"/>
                <w:sz w:val="14"/>
                <w:szCs w:val="14"/>
              </w:rPr>
              <w:t xml:space="preserve">0.22 ± 0.37</w:t>
            </w:r>
          </w:p>
        </w:tc>
        <w:tc>
          <w:tcPr>
            <w:tcW w:type="dxa" w:w="1190"/>
            <w:tcMar>
              <w:top w:type="dxa" w:w="24"/>
              <w:left w:type="dxa" w:w="50"/>
              <w:bottom w:type="dxa" w:w="24"/>
              <w:right w:type="dxa" w:w="50"/>
            </w:tcMar>
            <w:vAlign w:val="center"/>
          </w:tcPr>
          <w:p>
            <w:pPr>
              <w:spacing w:after="0"/>
              <w:jc w:val="center"/>
            </w:pPr>
            <w:r>
              <w:rPr>
                <w:rFonts w:ascii="Times New Roman" w:cs="Times New Roman" w:eastAsia="Times New Roman" w:hAnsi="Times New Roman"/>
                <w:b w:val="false"/>
                <w:bCs w:val="false"/>
                <w:sz w:val="14"/>
                <w:szCs w:val="14"/>
              </w:rPr>
              <w:t xml:space="preserve">0.24 ± 0.42</w:t>
            </w:r>
          </w:p>
        </w:tc>
        <w:tc>
          <w:tcPr>
            <w:tcW w:type="dxa" w:w="1190"/>
            <w:tcMar>
              <w:top w:type="dxa" w:w="24"/>
              <w:left w:type="dxa" w:w="50"/>
              <w:bottom w:type="dxa" w:w="24"/>
              <w:right w:type="dxa" w:w="50"/>
            </w:tcMar>
            <w:vAlign w:val="center"/>
          </w:tcPr>
          <w:p>
            <w:pPr>
              <w:spacing w:after="0"/>
              <w:jc w:val="center"/>
            </w:pPr>
            <w:r>
              <w:rPr>
                <w:rFonts w:ascii="Times New Roman" w:cs="Times New Roman" w:eastAsia="Times New Roman" w:hAnsi="Times New Roman"/>
                <w:b w:val="false"/>
                <w:bCs w:val="false"/>
                <w:sz w:val="14"/>
                <w:szCs w:val="14"/>
              </w:rPr>
              <w:t xml:space="preserve">0.23 ± 0.39</w:t>
            </w:r>
          </w:p>
        </w:tc>
        <w:tc>
          <w:tcPr>
            <w:tcW w:type="dxa" w:w="1190"/>
            <w:tcMar>
              <w:top w:type="dxa" w:w="24"/>
              <w:left w:type="dxa" w:w="50"/>
              <w:bottom w:type="dxa" w:w="24"/>
              <w:right w:type="dxa" w:w="50"/>
            </w:tcMar>
            <w:vAlign w:val="center"/>
          </w:tcPr>
          <w:p>
            <w:pPr>
              <w:spacing w:after="0"/>
              <w:jc w:val="center"/>
            </w:pPr>
            <w:r>
              <w:rPr>
                <w:rFonts w:ascii="Times New Roman" w:cs="Times New Roman" w:eastAsia="Times New Roman" w:hAnsi="Times New Roman"/>
                <w:b w:val="false"/>
                <w:bCs w:val="false"/>
                <w:sz w:val="14"/>
                <w:szCs w:val="14"/>
              </w:rPr>
              <w:t xml:space="preserve">0.38 ± 0.53</w:t>
            </w:r>
          </w:p>
        </w:tc>
        <w:tc>
          <w:tcPr>
            <w:tcW w:type="dxa" w:w="1190"/>
            <w:tcMar>
              <w:top w:type="dxa" w:w="24"/>
              <w:left w:type="dxa" w:w="50"/>
              <w:bottom w:type="dxa" w:w="24"/>
              <w:right w:type="dxa" w:w="50"/>
            </w:tcMar>
            <w:vAlign w:val="center"/>
          </w:tcPr>
          <w:p>
            <w:pPr>
              <w:spacing w:after="0"/>
              <w:jc w:val="center"/>
            </w:pPr>
            <w:r>
              <w:rPr>
                <w:rFonts w:ascii="Times New Roman" w:cs="Times New Roman" w:eastAsia="Times New Roman" w:hAnsi="Times New Roman"/>
                <w:b w:val="false"/>
                <w:bCs w:val="false"/>
                <w:sz w:val="14"/>
                <w:szCs w:val="14"/>
              </w:rPr>
              <w:t xml:space="preserve">0.22 ± 0.39</w:t>
            </w:r>
          </w:p>
        </w:tc>
        <w:tc>
          <w:tcPr>
            <w:tcW w:type="dxa" w:w="1190"/>
            <w:tcMar>
              <w:top w:type="dxa" w:w="24"/>
              <w:left w:type="dxa" w:w="50"/>
              <w:bottom w:type="dxa" w:w="24"/>
              <w:right w:type="dxa" w:w="50"/>
            </w:tcMar>
            <w:vAlign w:val="center"/>
          </w:tcPr>
          <w:p>
            <w:pPr>
              <w:spacing w:after="0"/>
              <w:jc w:val="center"/>
            </w:pPr>
            <w:r>
              <w:rPr>
                <w:rFonts w:ascii="Times New Roman" w:cs="Times New Roman" w:eastAsia="Times New Roman" w:hAnsi="Times New Roman"/>
                <w:b w:val="false"/>
                <w:bCs w:val="false"/>
                <w:sz w:val="14"/>
                <w:szCs w:val="14"/>
              </w:rPr>
              <w:t xml:space="preserve">−0.43</w:t>
            </w:r>
          </w:p>
        </w:tc>
      </w:tr>
    </w:tbl>
    <w:p>
      <w:pPr>
        <w:spacing w:after="60" w:before="120"/>
        <w:jc w:val="left"/>
      </w:pPr>
      <w:r>
        <w:rPr>
          <w:rFonts w:ascii="Times New Roman" w:cs="Times New Roman" w:eastAsia="Times New Roman" w:hAnsi="Times New Roman"/>
          <w:b/>
          <w:bCs/>
          <w:i/>
          <w:iCs/>
          <w:sz w:val="20"/>
          <w:szCs w:val="20"/>
        </w:rPr>
        <w:t xml:space="preserve">D. Scalability (Table V)</w:t>
      </w:r>
    </w:p>
    <w:p>
      <w:pPr>
        <w:spacing w:after="90" w:line="232"/>
        <w:ind w:firstLine="200"/>
        <w:jc w:val="both"/>
      </w:pPr>
      <w:r>
        <w:rPr>
          <w:rFonts w:ascii="Times New Roman" w:cs="Times New Roman" w:eastAsia="Times New Roman" w:hAnsi="Times New Roman"/>
          <w:sz w:val="20"/>
          <w:szCs w:val="20"/>
        </w:rPr>
        <w:t xml:space="preserve">F1 is highest at 4 banks (0.79) and roughly flat from 8-32 banks (0.76, 0.78, 0.77). Mean DP noise increases steadily with bank count (σ̄: 1.70 → 3.49), and per-round wall-clock time decreases (19.9s → 13.0s) since each bank's local workload shrinks as data is split more ways.</w:t>
      </w:r>
    </w:p>
    <w:p>
      <w:pPr>
        <w:spacing w:after="90"/>
        <w:jc w:val="center"/>
      </w:pPr>
      <w:r>
        <w:rPr>
          <w:rFonts w:ascii="Times New Roman" w:cs="Times New Roman" w:eastAsia="Times New Roman" w:hAnsi="Times New Roman"/>
          <w:b/>
          <w:bCs/>
          <w:sz w:val="17"/>
          <w:szCs w:val="17"/>
        </w:rPr>
        <w:t xml:space="preserve">TABLE V: SCALABILITY</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900"/>
        <w:gridCol w:w="1500"/>
        <w:gridCol w:w="1500"/>
        <w:gridCol w:w="1500"/>
        <w:gridCol w:w="1500"/>
        <w:gridCol w:w="1500"/>
        <w:gridCol w:w="1000"/>
        <w:gridCol w:w="1040"/>
      </w:tblGrid>
      <w:tr>
        <w:trPr>
          <w:tblHeader/>
        </w:trPr>
        <w:tc>
          <w:tcPr>
            <w:tcW w:type="dxa" w:w="900"/>
            <w:shd w:fill="D9D9D9" w:val="clear"/>
            <w:tcMar>
              <w:top w:type="dxa" w:w="24"/>
              <w:left w:type="dxa" w:w="50"/>
              <w:bottom w:type="dxa" w:w="24"/>
              <w:right w:type="dxa" w:w="50"/>
            </w:tcMar>
            <w:vAlign w:val="center"/>
          </w:tcPr>
          <w:p>
            <w:pPr>
              <w:spacing w:after="0"/>
              <w:jc w:val="center"/>
            </w:pPr>
            <w:r>
              <w:rPr>
                <w:rFonts w:ascii="Times New Roman" w:cs="Times New Roman" w:eastAsia="Times New Roman" w:hAnsi="Times New Roman"/>
                <w:b/>
                <w:bCs/>
                <w:sz w:val="14"/>
                <w:szCs w:val="14"/>
              </w:rPr>
              <w:t xml:space="preserve">Banks</w:t>
            </w:r>
          </w:p>
        </w:tc>
        <w:tc>
          <w:tcPr>
            <w:tcW w:type="dxa" w:w="1500"/>
            <w:shd w:fill="D9D9D9" w:val="clear"/>
            <w:tcMar>
              <w:top w:type="dxa" w:w="24"/>
              <w:left w:type="dxa" w:w="50"/>
              <w:bottom w:type="dxa" w:w="24"/>
              <w:right w:type="dxa" w:w="50"/>
            </w:tcMar>
            <w:vAlign w:val="center"/>
          </w:tcPr>
          <w:p>
            <w:pPr>
              <w:spacing w:after="0"/>
              <w:jc w:val="center"/>
            </w:pPr>
            <w:r>
              <w:rPr>
                <w:rFonts w:ascii="Times New Roman" w:cs="Times New Roman" w:eastAsia="Times New Roman" w:hAnsi="Times New Roman"/>
                <w:b/>
                <w:bCs/>
                <w:sz w:val="14"/>
                <w:szCs w:val="14"/>
              </w:rPr>
              <w:t xml:space="preserve">Precision</w:t>
            </w:r>
          </w:p>
        </w:tc>
        <w:tc>
          <w:tcPr>
            <w:tcW w:type="dxa" w:w="1500"/>
            <w:shd w:fill="D9D9D9" w:val="clear"/>
            <w:tcMar>
              <w:top w:type="dxa" w:w="24"/>
              <w:left w:type="dxa" w:w="50"/>
              <w:bottom w:type="dxa" w:w="24"/>
              <w:right w:type="dxa" w:w="50"/>
            </w:tcMar>
            <w:vAlign w:val="center"/>
          </w:tcPr>
          <w:p>
            <w:pPr>
              <w:spacing w:after="0"/>
              <w:jc w:val="center"/>
            </w:pPr>
            <w:r>
              <w:rPr>
                <w:rFonts w:ascii="Times New Roman" w:cs="Times New Roman" w:eastAsia="Times New Roman" w:hAnsi="Times New Roman"/>
                <w:b/>
                <w:bCs/>
                <w:sz w:val="14"/>
                <w:szCs w:val="14"/>
              </w:rPr>
              <w:t xml:space="preserve">Recall</w:t>
            </w:r>
          </w:p>
        </w:tc>
        <w:tc>
          <w:tcPr>
            <w:tcW w:type="dxa" w:w="1500"/>
            <w:shd w:fill="D9D9D9" w:val="clear"/>
            <w:tcMar>
              <w:top w:type="dxa" w:w="24"/>
              <w:left w:type="dxa" w:w="50"/>
              <w:bottom w:type="dxa" w:w="24"/>
              <w:right w:type="dxa" w:w="50"/>
            </w:tcMar>
            <w:vAlign w:val="center"/>
          </w:tcPr>
          <w:p>
            <w:pPr>
              <w:spacing w:after="0"/>
              <w:jc w:val="center"/>
            </w:pPr>
            <w:r>
              <w:rPr>
                <w:rFonts w:ascii="Times New Roman" w:cs="Times New Roman" w:eastAsia="Times New Roman" w:hAnsi="Times New Roman"/>
                <w:b/>
                <w:bCs/>
                <w:sz w:val="14"/>
                <w:szCs w:val="14"/>
              </w:rPr>
              <w:t xml:space="preserve">F1</w:t>
            </w:r>
          </w:p>
        </w:tc>
        <w:tc>
          <w:tcPr>
            <w:tcW w:type="dxa" w:w="1500"/>
            <w:shd w:fill="D9D9D9" w:val="clear"/>
            <w:tcMar>
              <w:top w:type="dxa" w:w="24"/>
              <w:left w:type="dxa" w:w="50"/>
              <w:bottom w:type="dxa" w:w="24"/>
              <w:right w:type="dxa" w:w="50"/>
            </w:tcMar>
            <w:vAlign w:val="center"/>
          </w:tcPr>
          <w:p>
            <w:pPr>
              <w:spacing w:after="0"/>
              <w:jc w:val="center"/>
            </w:pPr>
            <w:r>
              <w:rPr>
                <w:rFonts w:ascii="Times New Roman" w:cs="Times New Roman" w:eastAsia="Times New Roman" w:hAnsi="Times New Roman"/>
                <w:b/>
                <w:bCs/>
                <w:sz w:val="14"/>
                <w:szCs w:val="14"/>
              </w:rPr>
              <w:t xml:space="preserve">ROC-AUC</w:t>
            </w:r>
          </w:p>
        </w:tc>
        <w:tc>
          <w:tcPr>
            <w:tcW w:type="dxa" w:w="1500"/>
            <w:shd w:fill="D9D9D9" w:val="clear"/>
            <w:tcMar>
              <w:top w:type="dxa" w:w="24"/>
              <w:left w:type="dxa" w:w="50"/>
              <w:bottom w:type="dxa" w:w="24"/>
              <w:right w:type="dxa" w:w="50"/>
            </w:tcMar>
            <w:vAlign w:val="center"/>
          </w:tcPr>
          <w:p>
            <w:pPr>
              <w:spacing w:after="0"/>
              <w:jc w:val="center"/>
            </w:pPr>
            <w:r>
              <w:rPr>
                <w:rFonts w:ascii="Times New Roman" w:cs="Times New Roman" w:eastAsia="Times New Roman" w:hAnsi="Times New Roman"/>
                <w:b/>
                <w:bCs/>
                <w:sz w:val="14"/>
                <w:szCs w:val="14"/>
              </w:rPr>
              <w:t xml:space="preserve">PR-AUC</w:t>
            </w:r>
          </w:p>
        </w:tc>
        <w:tc>
          <w:tcPr>
            <w:tcW w:type="dxa" w:w="1000"/>
            <w:shd w:fill="D9D9D9" w:val="clear"/>
            <w:tcMar>
              <w:top w:type="dxa" w:w="24"/>
              <w:left w:type="dxa" w:w="50"/>
              <w:bottom w:type="dxa" w:w="24"/>
              <w:right w:type="dxa" w:w="50"/>
            </w:tcMar>
            <w:vAlign w:val="center"/>
          </w:tcPr>
          <w:p>
            <w:pPr>
              <w:spacing w:after="0"/>
              <w:jc w:val="center"/>
            </w:pPr>
            <w:r>
              <w:rPr>
                <w:rFonts w:ascii="Times New Roman" w:cs="Times New Roman" w:eastAsia="Times New Roman" w:hAnsi="Times New Roman"/>
                <w:b/>
                <w:bCs/>
                <w:sz w:val="14"/>
                <w:szCs w:val="14"/>
              </w:rPr>
              <w:t xml:space="preserve">σ̄</w:t>
            </w:r>
          </w:p>
        </w:tc>
        <w:tc>
          <w:tcPr>
            <w:tcW w:type="dxa" w:w="1040"/>
            <w:shd w:fill="D9D9D9" w:val="clear"/>
            <w:tcMar>
              <w:top w:type="dxa" w:w="24"/>
              <w:left w:type="dxa" w:w="50"/>
              <w:bottom w:type="dxa" w:w="24"/>
              <w:right w:type="dxa" w:w="50"/>
            </w:tcMar>
            <w:vAlign w:val="center"/>
          </w:tcPr>
          <w:p>
            <w:pPr>
              <w:spacing w:after="0"/>
              <w:jc w:val="center"/>
            </w:pPr>
            <w:r>
              <w:rPr>
                <w:rFonts w:ascii="Times New Roman" w:cs="Times New Roman" w:eastAsia="Times New Roman" w:hAnsi="Times New Roman"/>
                <w:b/>
                <w:bCs/>
                <w:sz w:val="14"/>
                <w:szCs w:val="14"/>
              </w:rPr>
              <w:t xml:space="preserve">s/round</w:t>
            </w:r>
          </w:p>
        </w:tc>
      </w:tr>
      <w:tr>
        <w:tc>
          <w:tcPr>
            <w:tcW w:type="dxa" w:w="900"/>
            <w:tcMar>
              <w:top w:type="dxa" w:w="24"/>
              <w:left w:type="dxa" w:w="50"/>
              <w:bottom w:type="dxa" w:w="24"/>
              <w:right w:type="dxa" w:w="50"/>
            </w:tcMar>
            <w:vAlign w:val="center"/>
          </w:tcPr>
          <w:p>
            <w:pPr>
              <w:spacing w:after="0"/>
              <w:jc w:val="left"/>
            </w:pPr>
            <w:r>
              <w:rPr>
                <w:rFonts w:ascii="Times New Roman" w:cs="Times New Roman" w:eastAsia="Times New Roman" w:hAnsi="Times New Roman"/>
                <w:b w:val="false"/>
                <w:bCs w:val="false"/>
                <w:sz w:val="14"/>
                <w:szCs w:val="14"/>
              </w:rPr>
              <w:t xml:space="preserve">4</w:t>
            </w:r>
          </w:p>
        </w:tc>
        <w:tc>
          <w:tcPr>
            <w:tcW w:type="dxa" w:w="1500"/>
            <w:tcMar>
              <w:top w:type="dxa" w:w="24"/>
              <w:left w:type="dxa" w:w="50"/>
              <w:bottom w:type="dxa" w:w="24"/>
              <w:right w:type="dxa" w:w="50"/>
            </w:tcMar>
            <w:vAlign w:val="center"/>
          </w:tcPr>
          <w:p>
            <w:pPr>
              <w:spacing w:after="0"/>
              <w:jc w:val="center"/>
            </w:pPr>
            <w:r>
              <w:rPr>
                <w:rFonts w:ascii="Times New Roman" w:cs="Times New Roman" w:eastAsia="Times New Roman" w:hAnsi="Times New Roman"/>
                <w:b w:val="false"/>
                <w:bCs w:val="false"/>
                <w:sz w:val="14"/>
                <w:szCs w:val="14"/>
              </w:rPr>
              <w:t xml:space="preserve">0.85 ± 0.03</w:t>
            </w:r>
          </w:p>
        </w:tc>
        <w:tc>
          <w:tcPr>
            <w:tcW w:type="dxa" w:w="1500"/>
            <w:tcMar>
              <w:top w:type="dxa" w:w="24"/>
              <w:left w:type="dxa" w:w="50"/>
              <w:bottom w:type="dxa" w:w="24"/>
              <w:right w:type="dxa" w:w="50"/>
            </w:tcMar>
            <w:vAlign w:val="center"/>
          </w:tcPr>
          <w:p>
            <w:pPr>
              <w:spacing w:after="0"/>
              <w:jc w:val="center"/>
            </w:pPr>
            <w:r>
              <w:rPr>
                <w:rFonts w:ascii="Times New Roman" w:cs="Times New Roman" w:eastAsia="Times New Roman" w:hAnsi="Times New Roman"/>
                <w:b w:val="false"/>
                <w:bCs w:val="false"/>
                <w:sz w:val="14"/>
                <w:szCs w:val="14"/>
              </w:rPr>
              <w:t xml:space="preserve">0.75 ± 0.06</w:t>
            </w:r>
          </w:p>
        </w:tc>
        <w:tc>
          <w:tcPr>
            <w:tcW w:type="dxa" w:w="1500"/>
            <w:tcMar>
              <w:top w:type="dxa" w:w="24"/>
              <w:left w:type="dxa" w:w="50"/>
              <w:bottom w:type="dxa" w:w="24"/>
              <w:right w:type="dxa" w:w="50"/>
            </w:tcMar>
            <w:vAlign w:val="center"/>
          </w:tcPr>
          <w:p>
            <w:pPr>
              <w:spacing w:after="0"/>
              <w:jc w:val="center"/>
            </w:pPr>
            <w:r>
              <w:rPr>
                <w:rFonts w:ascii="Times New Roman" w:cs="Times New Roman" w:eastAsia="Times New Roman" w:hAnsi="Times New Roman"/>
                <w:b w:val="false"/>
                <w:bCs w:val="false"/>
                <w:sz w:val="14"/>
                <w:szCs w:val="14"/>
              </w:rPr>
              <w:t xml:space="preserve">0.79 ± 0.02</w:t>
            </w:r>
          </w:p>
        </w:tc>
        <w:tc>
          <w:tcPr>
            <w:tcW w:type="dxa" w:w="1500"/>
            <w:tcMar>
              <w:top w:type="dxa" w:w="24"/>
              <w:left w:type="dxa" w:w="50"/>
              <w:bottom w:type="dxa" w:w="24"/>
              <w:right w:type="dxa" w:w="50"/>
            </w:tcMar>
            <w:vAlign w:val="center"/>
          </w:tcPr>
          <w:p>
            <w:pPr>
              <w:spacing w:after="0"/>
              <w:jc w:val="center"/>
            </w:pPr>
            <w:r>
              <w:rPr>
                <w:rFonts w:ascii="Times New Roman" w:cs="Times New Roman" w:eastAsia="Times New Roman" w:hAnsi="Times New Roman"/>
                <w:b w:val="false"/>
                <w:bCs w:val="false"/>
                <w:sz w:val="14"/>
                <w:szCs w:val="14"/>
              </w:rPr>
              <w:t xml:space="preserve">0.97 ± 0.01</w:t>
            </w:r>
          </w:p>
        </w:tc>
        <w:tc>
          <w:tcPr>
            <w:tcW w:type="dxa" w:w="1500"/>
            <w:tcMar>
              <w:top w:type="dxa" w:w="24"/>
              <w:left w:type="dxa" w:w="50"/>
              <w:bottom w:type="dxa" w:w="24"/>
              <w:right w:type="dxa" w:w="50"/>
            </w:tcMar>
            <w:vAlign w:val="center"/>
          </w:tcPr>
          <w:p>
            <w:pPr>
              <w:spacing w:after="0"/>
              <w:jc w:val="center"/>
            </w:pPr>
            <w:r>
              <w:rPr>
                <w:rFonts w:ascii="Times New Roman" w:cs="Times New Roman" w:eastAsia="Times New Roman" w:hAnsi="Times New Roman"/>
                <w:b w:val="false"/>
                <w:bCs w:val="false"/>
                <w:sz w:val="14"/>
                <w:szCs w:val="14"/>
              </w:rPr>
              <w:t xml:space="preserve">0.73 ± 0.02</w:t>
            </w:r>
          </w:p>
        </w:tc>
        <w:tc>
          <w:tcPr>
            <w:tcW w:type="dxa" w:w="1000"/>
            <w:tcMar>
              <w:top w:type="dxa" w:w="24"/>
              <w:left w:type="dxa" w:w="50"/>
              <w:bottom w:type="dxa" w:w="24"/>
              <w:right w:type="dxa" w:w="50"/>
            </w:tcMar>
            <w:vAlign w:val="center"/>
          </w:tcPr>
          <w:p>
            <w:pPr>
              <w:spacing w:after="0"/>
              <w:jc w:val="center"/>
            </w:pPr>
            <w:r>
              <w:rPr>
                <w:rFonts w:ascii="Times New Roman" w:cs="Times New Roman" w:eastAsia="Times New Roman" w:hAnsi="Times New Roman"/>
                <w:b w:val="false"/>
                <w:bCs w:val="false"/>
                <w:sz w:val="14"/>
                <w:szCs w:val="14"/>
              </w:rPr>
              <w:t xml:space="preserve">1.695</w:t>
            </w:r>
          </w:p>
        </w:tc>
        <w:tc>
          <w:tcPr>
            <w:tcW w:type="dxa" w:w="1040"/>
            <w:tcMar>
              <w:top w:type="dxa" w:w="24"/>
              <w:left w:type="dxa" w:w="50"/>
              <w:bottom w:type="dxa" w:w="24"/>
              <w:right w:type="dxa" w:w="50"/>
            </w:tcMar>
            <w:vAlign w:val="center"/>
          </w:tcPr>
          <w:p>
            <w:pPr>
              <w:spacing w:after="0"/>
              <w:jc w:val="center"/>
            </w:pPr>
            <w:r>
              <w:rPr>
                <w:rFonts w:ascii="Times New Roman" w:cs="Times New Roman" w:eastAsia="Times New Roman" w:hAnsi="Times New Roman"/>
                <w:b w:val="false"/>
                <w:bCs w:val="false"/>
                <w:sz w:val="14"/>
                <w:szCs w:val="14"/>
              </w:rPr>
              <w:t xml:space="preserve">19.9</w:t>
            </w:r>
          </w:p>
        </w:tc>
      </w:tr>
      <w:tr>
        <w:tc>
          <w:tcPr>
            <w:tcW w:type="dxa" w:w="900"/>
            <w:tcMar>
              <w:top w:type="dxa" w:w="24"/>
              <w:left w:type="dxa" w:w="50"/>
              <w:bottom w:type="dxa" w:w="24"/>
              <w:right w:type="dxa" w:w="50"/>
            </w:tcMar>
            <w:vAlign w:val="center"/>
          </w:tcPr>
          <w:p>
            <w:pPr>
              <w:spacing w:after="0"/>
              <w:jc w:val="left"/>
            </w:pPr>
            <w:r>
              <w:rPr>
                <w:rFonts w:ascii="Times New Roman" w:cs="Times New Roman" w:eastAsia="Times New Roman" w:hAnsi="Times New Roman"/>
                <w:b w:val="false"/>
                <w:bCs w:val="false"/>
                <w:sz w:val="14"/>
                <w:szCs w:val="14"/>
              </w:rPr>
              <w:t xml:space="preserve">8</w:t>
            </w:r>
          </w:p>
        </w:tc>
        <w:tc>
          <w:tcPr>
            <w:tcW w:type="dxa" w:w="1500"/>
            <w:tcMar>
              <w:top w:type="dxa" w:w="24"/>
              <w:left w:type="dxa" w:w="50"/>
              <w:bottom w:type="dxa" w:w="24"/>
              <w:right w:type="dxa" w:w="50"/>
            </w:tcMar>
            <w:vAlign w:val="center"/>
          </w:tcPr>
          <w:p>
            <w:pPr>
              <w:spacing w:after="0"/>
              <w:jc w:val="center"/>
            </w:pPr>
            <w:r>
              <w:rPr>
                <w:rFonts w:ascii="Times New Roman" w:cs="Times New Roman" w:eastAsia="Times New Roman" w:hAnsi="Times New Roman"/>
                <w:b w:val="false"/>
                <w:bCs w:val="false"/>
                <w:sz w:val="14"/>
                <w:szCs w:val="14"/>
              </w:rPr>
              <w:t xml:space="preserve">0.84 ± 0.03</w:t>
            </w:r>
          </w:p>
        </w:tc>
        <w:tc>
          <w:tcPr>
            <w:tcW w:type="dxa" w:w="1500"/>
            <w:tcMar>
              <w:top w:type="dxa" w:w="24"/>
              <w:left w:type="dxa" w:w="50"/>
              <w:bottom w:type="dxa" w:w="24"/>
              <w:right w:type="dxa" w:w="50"/>
            </w:tcMar>
            <w:vAlign w:val="center"/>
          </w:tcPr>
          <w:p>
            <w:pPr>
              <w:spacing w:after="0"/>
              <w:jc w:val="center"/>
            </w:pPr>
            <w:r>
              <w:rPr>
                <w:rFonts w:ascii="Times New Roman" w:cs="Times New Roman" w:eastAsia="Times New Roman" w:hAnsi="Times New Roman"/>
                <w:b w:val="false"/>
                <w:bCs w:val="false"/>
                <w:sz w:val="14"/>
                <w:szCs w:val="14"/>
              </w:rPr>
              <w:t xml:space="preserve">0.70 ± 0.07</w:t>
            </w:r>
          </w:p>
        </w:tc>
        <w:tc>
          <w:tcPr>
            <w:tcW w:type="dxa" w:w="1500"/>
            <w:tcMar>
              <w:top w:type="dxa" w:w="24"/>
              <w:left w:type="dxa" w:w="50"/>
              <w:bottom w:type="dxa" w:w="24"/>
              <w:right w:type="dxa" w:w="50"/>
            </w:tcMar>
            <w:vAlign w:val="center"/>
          </w:tcPr>
          <w:p>
            <w:pPr>
              <w:spacing w:after="0"/>
              <w:jc w:val="center"/>
            </w:pPr>
            <w:r>
              <w:rPr>
                <w:rFonts w:ascii="Times New Roman" w:cs="Times New Roman" w:eastAsia="Times New Roman" w:hAnsi="Times New Roman"/>
                <w:b w:val="false"/>
                <w:bCs w:val="false"/>
                <w:sz w:val="14"/>
                <w:szCs w:val="14"/>
              </w:rPr>
              <w:t xml:space="preserve">0.76 ± 0.03</w:t>
            </w:r>
          </w:p>
        </w:tc>
        <w:tc>
          <w:tcPr>
            <w:tcW w:type="dxa" w:w="1500"/>
            <w:tcMar>
              <w:top w:type="dxa" w:w="24"/>
              <w:left w:type="dxa" w:w="50"/>
              <w:bottom w:type="dxa" w:w="24"/>
              <w:right w:type="dxa" w:w="50"/>
            </w:tcMar>
            <w:vAlign w:val="center"/>
          </w:tcPr>
          <w:p>
            <w:pPr>
              <w:spacing w:after="0"/>
              <w:jc w:val="center"/>
            </w:pPr>
            <w:r>
              <w:rPr>
                <w:rFonts w:ascii="Times New Roman" w:cs="Times New Roman" w:eastAsia="Times New Roman" w:hAnsi="Times New Roman"/>
                <w:b w:val="false"/>
                <w:bCs w:val="false"/>
                <w:sz w:val="14"/>
                <w:szCs w:val="14"/>
              </w:rPr>
              <w:t xml:space="preserve">0.97 ± 0.01</w:t>
            </w:r>
          </w:p>
        </w:tc>
        <w:tc>
          <w:tcPr>
            <w:tcW w:type="dxa" w:w="1500"/>
            <w:tcMar>
              <w:top w:type="dxa" w:w="24"/>
              <w:left w:type="dxa" w:w="50"/>
              <w:bottom w:type="dxa" w:w="24"/>
              <w:right w:type="dxa" w:w="50"/>
            </w:tcMar>
            <w:vAlign w:val="center"/>
          </w:tcPr>
          <w:p>
            <w:pPr>
              <w:spacing w:after="0"/>
              <w:jc w:val="center"/>
            </w:pPr>
            <w:r>
              <w:rPr>
                <w:rFonts w:ascii="Times New Roman" w:cs="Times New Roman" w:eastAsia="Times New Roman" w:hAnsi="Times New Roman"/>
                <w:b w:val="false"/>
                <w:bCs w:val="false"/>
                <w:sz w:val="14"/>
                <w:szCs w:val="14"/>
              </w:rPr>
              <w:t xml:space="preserve">0.71 ± 0.02</w:t>
            </w:r>
          </w:p>
        </w:tc>
        <w:tc>
          <w:tcPr>
            <w:tcW w:type="dxa" w:w="1000"/>
            <w:tcMar>
              <w:top w:type="dxa" w:w="24"/>
              <w:left w:type="dxa" w:w="50"/>
              <w:bottom w:type="dxa" w:w="24"/>
              <w:right w:type="dxa" w:w="50"/>
            </w:tcMar>
            <w:vAlign w:val="center"/>
          </w:tcPr>
          <w:p>
            <w:pPr>
              <w:spacing w:after="0"/>
              <w:jc w:val="center"/>
            </w:pPr>
            <w:r>
              <w:rPr>
                <w:rFonts w:ascii="Times New Roman" w:cs="Times New Roman" w:eastAsia="Times New Roman" w:hAnsi="Times New Roman"/>
                <w:b w:val="false"/>
                <w:bCs w:val="false"/>
                <w:sz w:val="14"/>
                <w:szCs w:val="14"/>
              </w:rPr>
              <w:t xml:space="preserve">2.459</w:t>
            </w:r>
          </w:p>
        </w:tc>
        <w:tc>
          <w:tcPr>
            <w:tcW w:type="dxa" w:w="1040"/>
            <w:tcMar>
              <w:top w:type="dxa" w:w="24"/>
              <w:left w:type="dxa" w:w="50"/>
              <w:bottom w:type="dxa" w:w="24"/>
              <w:right w:type="dxa" w:w="50"/>
            </w:tcMar>
            <w:vAlign w:val="center"/>
          </w:tcPr>
          <w:p>
            <w:pPr>
              <w:spacing w:after="0"/>
              <w:jc w:val="center"/>
            </w:pPr>
            <w:r>
              <w:rPr>
                <w:rFonts w:ascii="Times New Roman" w:cs="Times New Roman" w:eastAsia="Times New Roman" w:hAnsi="Times New Roman"/>
                <w:b w:val="false"/>
                <w:bCs w:val="false"/>
                <w:sz w:val="14"/>
                <w:szCs w:val="14"/>
              </w:rPr>
              <w:t xml:space="preserve">15.9</w:t>
            </w:r>
          </w:p>
        </w:tc>
      </w:tr>
      <w:tr>
        <w:tc>
          <w:tcPr>
            <w:tcW w:type="dxa" w:w="900"/>
            <w:tcMar>
              <w:top w:type="dxa" w:w="24"/>
              <w:left w:type="dxa" w:w="50"/>
              <w:bottom w:type="dxa" w:w="24"/>
              <w:right w:type="dxa" w:w="50"/>
            </w:tcMar>
            <w:vAlign w:val="center"/>
          </w:tcPr>
          <w:p>
            <w:pPr>
              <w:spacing w:after="0"/>
              <w:jc w:val="left"/>
            </w:pPr>
            <w:r>
              <w:rPr>
                <w:rFonts w:ascii="Times New Roman" w:cs="Times New Roman" w:eastAsia="Times New Roman" w:hAnsi="Times New Roman"/>
                <w:b w:val="false"/>
                <w:bCs w:val="false"/>
                <w:sz w:val="14"/>
                <w:szCs w:val="14"/>
              </w:rPr>
              <w:t xml:space="preserve">16</w:t>
            </w:r>
          </w:p>
        </w:tc>
        <w:tc>
          <w:tcPr>
            <w:tcW w:type="dxa" w:w="1500"/>
            <w:tcMar>
              <w:top w:type="dxa" w:w="24"/>
              <w:left w:type="dxa" w:w="50"/>
              <w:bottom w:type="dxa" w:w="24"/>
              <w:right w:type="dxa" w:w="50"/>
            </w:tcMar>
            <w:vAlign w:val="center"/>
          </w:tcPr>
          <w:p>
            <w:pPr>
              <w:spacing w:after="0"/>
              <w:jc w:val="center"/>
            </w:pPr>
            <w:r>
              <w:rPr>
                <w:rFonts w:ascii="Times New Roman" w:cs="Times New Roman" w:eastAsia="Times New Roman" w:hAnsi="Times New Roman"/>
                <w:b w:val="false"/>
                <w:bCs w:val="false"/>
                <w:sz w:val="14"/>
                <w:szCs w:val="14"/>
              </w:rPr>
              <w:t xml:space="preserve">0.84 ± 0.04</w:t>
            </w:r>
          </w:p>
        </w:tc>
        <w:tc>
          <w:tcPr>
            <w:tcW w:type="dxa" w:w="1500"/>
            <w:tcMar>
              <w:top w:type="dxa" w:w="24"/>
              <w:left w:type="dxa" w:w="50"/>
              <w:bottom w:type="dxa" w:w="24"/>
              <w:right w:type="dxa" w:w="50"/>
            </w:tcMar>
            <w:vAlign w:val="center"/>
          </w:tcPr>
          <w:p>
            <w:pPr>
              <w:spacing w:after="0"/>
              <w:jc w:val="center"/>
            </w:pPr>
            <w:r>
              <w:rPr>
                <w:rFonts w:ascii="Times New Roman" w:cs="Times New Roman" w:eastAsia="Times New Roman" w:hAnsi="Times New Roman"/>
                <w:b w:val="false"/>
                <w:bCs w:val="false"/>
                <w:sz w:val="14"/>
                <w:szCs w:val="14"/>
              </w:rPr>
              <w:t xml:space="preserve">0.73 ± 0.04</w:t>
            </w:r>
          </w:p>
        </w:tc>
        <w:tc>
          <w:tcPr>
            <w:tcW w:type="dxa" w:w="1500"/>
            <w:tcMar>
              <w:top w:type="dxa" w:w="24"/>
              <w:left w:type="dxa" w:w="50"/>
              <w:bottom w:type="dxa" w:w="24"/>
              <w:right w:type="dxa" w:w="50"/>
            </w:tcMar>
            <w:vAlign w:val="center"/>
          </w:tcPr>
          <w:p>
            <w:pPr>
              <w:spacing w:after="0"/>
              <w:jc w:val="center"/>
            </w:pPr>
            <w:r>
              <w:rPr>
                <w:rFonts w:ascii="Times New Roman" w:cs="Times New Roman" w:eastAsia="Times New Roman" w:hAnsi="Times New Roman"/>
                <w:b w:val="false"/>
                <w:bCs w:val="false"/>
                <w:sz w:val="14"/>
                <w:szCs w:val="14"/>
              </w:rPr>
              <w:t xml:space="preserve">0.78 ± 0.02</w:t>
            </w:r>
          </w:p>
        </w:tc>
        <w:tc>
          <w:tcPr>
            <w:tcW w:type="dxa" w:w="1500"/>
            <w:tcMar>
              <w:top w:type="dxa" w:w="24"/>
              <w:left w:type="dxa" w:w="50"/>
              <w:bottom w:type="dxa" w:w="24"/>
              <w:right w:type="dxa" w:w="50"/>
            </w:tcMar>
            <w:vAlign w:val="center"/>
          </w:tcPr>
          <w:p>
            <w:pPr>
              <w:spacing w:after="0"/>
              <w:jc w:val="center"/>
            </w:pPr>
            <w:r>
              <w:rPr>
                <w:rFonts w:ascii="Times New Roman" w:cs="Times New Roman" w:eastAsia="Times New Roman" w:hAnsi="Times New Roman"/>
                <w:b w:val="false"/>
                <w:bCs w:val="false"/>
                <w:sz w:val="14"/>
                <w:szCs w:val="14"/>
              </w:rPr>
              <w:t xml:space="preserve">0.98 ± 0.01</w:t>
            </w:r>
          </w:p>
        </w:tc>
        <w:tc>
          <w:tcPr>
            <w:tcW w:type="dxa" w:w="1500"/>
            <w:tcMar>
              <w:top w:type="dxa" w:w="24"/>
              <w:left w:type="dxa" w:w="50"/>
              <w:bottom w:type="dxa" w:w="24"/>
              <w:right w:type="dxa" w:w="50"/>
            </w:tcMar>
            <w:vAlign w:val="center"/>
          </w:tcPr>
          <w:p>
            <w:pPr>
              <w:spacing w:after="0"/>
              <w:jc w:val="center"/>
            </w:pPr>
            <w:r>
              <w:rPr>
                <w:rFonts w:ascii="Times New Roman" w:cs="Times New Roman" w:eastAsia="Times New Roman" w:hAnsi="Times New Roman"/>
                <w:b w:val="false"/>
                <w:bCs w:val="false"/>
                <w:sz w:val="14"/>
                <w:szCs w:val="14"/>
              </w:rPr>
              <w:t xml:space="preserve">0.72 ± 0.05</w:t>
            </w:r>
          </w:p>
        </w:tc>
        <w:tc>
          <w:tcPr>
            <w:tcW w:type="dxa" w:w="1000"/>
            <w:tcMar>
              <w:top w:type="dxa" w:w="24"/>
              <w:left w:type="dxa" w:w="50"/>
              <w:bottom w:type="dxa" w:w="24"/>
              <w:right w:type="dxa" w:w="50"/>
            </w:tcMar>
            <w:vAlign w:val="center"/>
          </w:tcPr>
          <w:p>
            <w:pPr>
              <w:spacing w:after="0"/>
              <w:jc w:val="center"/>
            </w:pPr>
            <w:r>
              <w:rPr>
                <w:rFonts w:ascii="Times New Roman" w:cs="Times New Roman" w:eastAsia="Times New Roman" w:hAnsi="Times New Roman"/>
                <w:b w:val="false"/>
                <w:bCs w:val="false"/>
                <w:sz w:val="14"/>
                <w:szCs w:val="14"/>
              </w:rPr>
              <w:t xml:space="preserve">3.265</w:t>
            </w:r>
          </w:p>
        </w:tc>
        <w:tc>
          <w:tcPr>
            <w:tcW w:type="dxa" w:w="1040"/>
            <w:tcMar>
              <w:top w:type="dxa" w:w="24"/>
              <w:left w:type="dxa" w:w="50"/>
              <w:bottom w:type="dxa" w:w="24"/>
              <w:right w:type="dxa" w:w="50"/>
            </w:tcMar>
            <w:vAlign w:val="center"/>
          </w:tcPr>
          <w:p>
            <w:pPr>
              <w:spacing w:after="0"/>
              <w:jc w:val="center"/>
            </w:pPr>
            <w:r>
              <w:rPr>
                <w:rFonts w:ascii="Times New Roman" w:cs="Times New Roman" w:eastAsia="Times New Roman" w:hAnsi="Times New Roman"/>
                <w:b w:val="false"/>
                <w:bCs w:val="false"/>
                <w:sz w:val="14"/>
                <w:szCs w:val="14"/>
              </w:rPr>
              <w:t xml:space="preserve">14.1</w:t>
            </w:r>
          </w:p>
        </w:tc>
      </w:tr>
      <w:tr>
        <w:tc>
          <w:tcPr>
            <w:tcW w:type="dxa" w:w="900"/>
            <w:tcMar>
              <w:top w:type="dxa" w:w="24"/>
              <w:left w:type="dxa" w:w="50"/>
              <w:bottom w:type="dxa" w:w="24"/>
              <w:right w:type="dxa" w:w="50"/>
            </w:tcMar>
            <w:vAlign w:val="center"/>
          </w:tcPr>
          <w:p>
            <w:pPr>
              <w:spacing w:after="0"/>
              <w:jc w:val="left"/>
            </w:pPr>
            <w:r>
              <w:rPr>
                <w:rFonts w:ascii="Times New Roman" w:cs="Times New Roman" w:eastAsia="Times New Roman" w:hAnsi="Times New Roman"/>
                <w:b w:val="false"/>
                <w:bCs w:val="false"/>
                <w:sz w:val="14"/>
                <w:szCs w:val="14"/>
              </w:rPr>
              <w:t xml:space="preserve">32</w:t>
            </w:r>
          </w:p>
        </w:tc>
        <w:tc>
          <w:tcPr>
            <w:tcW w:type="dxa" w:w="1500"/>
            <w:tcMar>
              <w:top w:type="dxa" w:w="24"/>
              <w:left w:type="dxa" w:w="50"/>
              <w:bottom w:type="dxa" w:w="24"/>
              <w:right w:type="dxa" w:w="50"/>
            </w:tcMar>
            <w:vAlign w:val="center"/>
          </w:tcPr>
          <w:p>
            <w:pPr>
              <w:spacing w:after="0"/>
              <w:jc w:val="center"/>
            </w:pPr>
            <w:r>
              <w:rPr>
                <w:rFonts w:ascii="Times New Roman" w:cs="Times New Roman" w:eastAsia="Times New Roman" w:hAnsi="Times New Roman"/>
                <w:b w:val="false"/>
                <w:bCs w:val="false"/>
                <w:sz w:val="14"/>
                <w:szCs w:val="14"/>
              </w:rPr>
              <w:t xml:space="preserve">0.85 ± 0.03</w:t>
            </w:r>
          </w:p>
        </w:tc>
        <w:tc>
          <w:tcPr>
            <w:tcW w:type="dxa" w:w="1500"/>
            <w:tcMar>
              <w:top w:type="dxa" w:w="24"/>
              <w:left w:type="dxa" w:w="50"/>
              <w:bottom w:type="dxa" w:w="24"/>
              <w:right w:type="dxa" w:w="50"/>
            </w:tcMar>
            <w:vAlign w:val="center"/>
          </w:tcPr>
          <w:p>
            <w:pPr>
              <w:spacing w:after="0"/>
              <w:jc w:val="center"/>
            </w:pPr>
            <w:r>
              <w:rPr>
                <w:rFonts w:ascii="Times New Roman" w:cs="Times New Roman" w:eastAsia="Times New Roman" w:hAnsi="Times New Roman"/>
                <w:b w:val="false"/>
                <w:bCs w:val="false"/>
                <w:sz w:val="14"/>
                <w:szCs w:val="14"/>
              </w:rPr>
              <w:t xml:space="preserve">0.71 ± 0.08</w:t>
            </w:r>
          </w:p>
        </w:tc>
        <w:tc>
          <w:tcPr>
            <w:tcW w:type="dxa" w:w="1500"/>
            <w:tcMar>
              <w:top w:type="dxa" w:w="24"/>
              <w:left w:type="dxa" w:w="50"/>
              <w:bottom w:type="dxa" w:w="24"/>
              <w:right w:type="dxa" w:w="50"/>
            </w:tcMar>
            <w:vAlign w:val="center"/>
          </w:tcPr>
          <w:p>
            <w:pPr>
              <w:spacing w:after="0"/>
              <w:jc w:val="center"/>
            </w:pPr>
            <w:r>
              <w:rPr>
                <w:rFonts w:ascii="Times New Roman" w:cs="Times New Roman" w:eastAsia="Times New Roman" w:hAnsi="Times New Roman"/>
                <w:b w:val="false"/>
                <w:bCs w:val="false"/>
                <w:sz w:val="14"/>
                <w:szCs w:val="14"/>
              </w:rPr>
              <w:t xml:space="preserve">0.77 ± 0.03</w:t>
            </w:r>
          </w:p>
        </w:tc>
        <w:tc>
          <w:tcPr>
            <w:tcW w:type="dxa" w:w="1500"/>
            <w:tcMar>
              <w:top w:type="dxa" w:w="24"/>
              <w:left w:type="dxa" w:w="50"/>
              <w:bottom w:type="dxa" w:w="24"/>
              <w:right w:type="dxa" w:w="50"/>
            </w:tcMar>
            <w:vAlign w:val="center"/>
          </w:tcPr>
          <w:p>
            <w:pPr>
              <w:spacing w:after="0"/>
              <w:jc w:val="center"/>
            </w:pPr>
            <w:r>
              <w:rPr>
                <w:rFonts w:ascii="Times New Roman" w:cs="Times New Roman" w:eastAsia="Times New Roman" w:hAnsi="Times New Roman"/>
                <w:b w:val="false"/>
                <w:bCs w:val="false"/>
                <w:sz w:val="14"/>
                <w:szCs w:val="14"/>
              </w:rPr>
              <w:t xml:space="preserve">0.97 ± 0.02</w:t>
            </w:r>
          </w:p>
        </w:tc>
        <w:tc>
          <w:tcPr>
            <w:tcW w:type="dxa" w:w="1500"/>
            <w:tcMar>
              <w:top w:type="dxa" w:w="24"/>
              <w:left w:type="dxa" w:w="50"/>
              <w:bottom w:type="dxa" w:w="24"/>
              <w:right w:type="dxa" w:w="50"/>
            </w:tcMar>
            <w:vAlign w:val="center"/>
          </w:tcPr>
          <w:p>
            <w:pPr>
              <w:spacing w:after="0"/>
              <w:jc w:val="center"/>
            </w:pPr>
            <w:r>
              <w:rPr>
                <w:rFonts w:ascii="Times New Roman" w:cs="Times New Roman" w:eastAsia="Times New Roman" w:hAnsi="Times New Roman"/>
                <w:b w:val="false"/>
                <w:bCs w:val="false"/>
                <w:sz w:val="14"/>
                <w:szCs w:val="14"/>
              </w:rPr>
              <w:t xml:space="preserve">0.71 ± 0.03</w:t>
            </w:r>
          </w:p>
        </w:tc>
        <w:tc>
          <w:tcPr>
            <w:tcW w:type="dxa" w:w="1000"/>
            <w:tcMar>
              <w:top w:type="dxa" w:w="24"/>
              <w:left w:type="dxa" w:w="50"/>
              <w:bottom w:type="dxa" w:w="24"/>
              <w:right w:type="dxa" w:w="50"/>
            </w:tcMar>
            <w:vAlign w:val="center"/>
          </w:tcPr>
          <w:p>
            <w:pPr>
              <w:spacing w:after="0"/>
              <w:jc w:val="center"/>
            </w:pPr>
            <w:r>
              <w:rPr>
                <w:rFonts w:ascii="Times New Roman" w:cs="Times New Roman" w:eastAsia="Times New Roman" w:hAnsi="Times New Roman"/>
                <w:b w:val="false"/>
                <w:bCs w:val="false"/>
                <w:sz w:val="14"/>
                <w:szCs w:val="14"/>
              </w:rPr>
              <w:t xml:space="preserve">3.487</w:t>
            </w:r>
          </w:p>
        </w:tc>
        <w:tc>
          <w:tcPr>
            <w:tcW w:type="dxa" w:w="1040"/>
            <w:tcMar>
              <w:top w:type="dxa" w:w="24"/>
              <w:left w:type="dxa" w:w="50"/>
              <w:bottom w:type="dxa" w:w="24"/>
              <w:right w:type="dxa" w:w="50"/>
            </w:tcMar>
            <w:vAlign w:val="center"/>
          </w:tcPr>
          <w:p>
            <w:pPr>
              <w:spacing w:after="0"/>
              <w:jc w:val="center"/>
            </w:pPr>
            <w:r>
              <w:rPr>
                <w:rFonts w:ascii="Times New Roman" w:cs="Times New Roman" w:eastAsia="Times New Roman" w:hAnsi="Times New Roman"/>
                <w:b w:val="false"/>
                <w:bCs w:val="false"/>
                <w:sz w:val="14"/>
                <w:szCs w:val="14"/>
              </w:rPr>
              <w:t xml:space="preserve">13.0</w:t>
            </w:r>
          </w:p>
        </w:tc>
      </w:tr>
    </w:tbl>
    <w:p>
      <w:pPr>
        <w:sectPr>
          <w:type w:val="continuous"/>
          <w:pgSz w:w="12240" w:h="15840" w:orient="portrait"/>
          <w:pgMar w:top="1080" w:right="900" w:bottom="1440" w:left="900" w:header="708" w:footer="708" w:gutter="0"/>
          <w:pgNumType/>
          <w:cols w:num="1"/>
          <w:docGrid w:linePitch="360"/>
        </w:sectPr>
      </w:pPr>
    </w:p>
    <w:p>
      <w:pPr>
        <w:spacing w:after="90" w:before="180"/>
        <w:jc w:val="center"/>
      </w:pPr>
      <w:r>
        <w:rPr>
          <w:rFonts w:ascii="Times New Roman" w:cs="Times New Roman" w:eastAsia="Times New Roman" w:hAnsi="Times New Roman"/>
          <w:b/>
          <w:bCs/>
          <w:sz w:val="20"/>
          <w:szCs w:val="20"/>
        </w:rPr>
        <w:t xml:space="preserve">VI. DISCUSSION AND LIMITATIONS</w:t>
      </w:r>
    </w:p>
    <w:p>
      <w:pPr>
        <w:spacing w:after="90" w:line="232"/>
        <w:ind w:firstLine="200"/>
        <w:jc w:val="both"/>
      </w:pPr>
      <w:r>
        <w:rPr>
          <w:rFonts w:ascii="Times New Roman" w:cs="Times New Roman" w:eastAsia="Times New Roman" w:hAnsi="Times New Roman"/>
          <w:sz w:val="20"/>
          <w:szCs w:val="20"/>
        </w:rPr>
        <w:t xml:space="preserve">The most consequential finding is a correction: the pilot-scale claim that EBA-FFD was statistically indistinguishable from XGBoost does not hold at full scale, since the pilot evaluation lacked statistical power to detect a gap likely present at both scales — a caution for any small-scale FL evaluation. The drift-protection result changed in character, not direction: adaptive aggregation still clearly outperforms vanilla FedAvg, but is no longer close to fully immune, with far more seed-to-seed variance than any stationary result, traced to bank-size skew becoming more extreme at full scale.</w:t>
      </w:r>
    </w:p>
    <w:p>
      <w:pPr>
        <w:spacing w:after="90" w:line="232"/>
        <w:ind w:firstLine="200"/>
        <w:jc w:val="both"/>
      </w:pPr>
      <w:r>
        <w:rPr>
          <w:rFonts w:ascii="Times New Roman" w:cs="Times New Roman" w:eastAsia="Times New Roman" w:hAnsi="Times New Roman"/>
          <w:sz w:val="20"/>
          <w:szCs w:val="20"/>
        </w:rPr>
        <w:t xml:space="preserve">Our privacy claim requires precise scoping, which we give here rather than in the system description alone. The formal (ε, δ) guarantee in this paper covers the DP-SGD weight update only. Two other signals are not covered by that same analysis. First, the scalar training loss used for drift detection (Section III.F) is computed from real, un-noised local batches and released to the server every round; its own information leakage has not been formally bounded, so it should be treated as trusted-server telemetry rather than as itself differentially private, until a formal accounting (e.g., adding calibrated noise to this scalar) is added. Second, KMeans-SMOTE/ENN balancing (Section III.B) is a data-dependent transformation applied before DP-SGD training begins; because SMOTE-style interpolation can let one original record influence more than one synthetic training example, the standard per-example sensitivity assumption underlying DP-SGD's clipping bound has not been re-derived for this pipeline, and we do not claim the reported ε is a record-level guarantee with respect to the original raw transactions in the strictest sense. Both are open problems for future work, not claims we retract; we would rather state them plainly than have a reader discover the gap independently.</w:t>
      </w:r>
    </w:p>
    <w:p>
      <w:pPr>
        <w:spacing w:after="90" w:line="232"/>
        <w:ind w:firstLine="200"/>
        <w:jc w:val="both"/>
      </w:pPr>
      <w:r>
        <w:rPr>
          <w:rFonts w:ascii="Times New Roman" w:cs="Times New Roman" w:eastAsia="Times New Roman" w:hAnsi="Times New Roman"/>
          <w:sz w:val="20"/>
          <w:szCs w:val="20"/>
        </w:rPr>
        <w:t xml:space="preserve">Two further limitations remain. Three seeds, while sufficient to compute a paired t-test, is a small sample whose result should be read as an initial signal (Section IV.E); a wider seed count would sharpen every number here, particularly the high-variance drift result. All results remain on one public dataset (Section IV.A); the systems-level findings are not dataset-specific claims, but have not been checked against a second dataset.</w:t>
      </w:r>
    </w:p>
    <w:p>
      <w:pPr>
        <w:spacing w:after="90" w:before="180"/>
        <w:jc w:val="center"/>
      </w:pPr>
      <w:r>
        <w:rPr>
          <w:rFonts w:ascii="Times New Roman" w:cs="Times New Roman" w:eastAsia="Times New Roman" w:hAnsi="Times New Roman"/>
          <w:b/>
          <w:bCs/>
          <w:sz w:val="20"/>
          <w:szCs w:val="20"/>
        </w:rPr>
        <w:t xml:space="preserve">VII. CONCLUSION AND FUTURE WORK</w:t>
      </w:r>
    </w:p>
    <w:p>
      <w:pPr>
        <w:spacing w:after="90" w:line="232"/>
        <w:ind w:firstLine="200"/>
        <w:jc w:val="both"/>
      </w:pPr>
      <w:r>
        <w:rPr>
          <w:rFonts w:ascii="Times New Roman" w:cs="Times New Roman" w:eastAsia="Times New Roman" w:hAnsi="Times New Roman"/>
          <w:sz w:val="20"/>
          <w:szCs w:val="20"/>
        </w:rPr>
        <w:t xml:space="preserve">We presented EBA-FFD, combining a right-sized MLP classifier with Focal Loss, local class balancing, formally accounted DP, and PH-driven adaptive aggregation that damps drifting clients without excluding them. At full scale, EBA-FFD reaches F1 = 0.79 under formal DP — significantly below a non-private upper bound but significantly above acting alone — and under injected drift, adaptive aggregation substantially mitigates, though does not eliminate, the damage a drifting client causes.</w:t>
      </w:r>
    </w:p>
    <w:p>
      <w:pPr>
        <w:spacing w:after="90" w:line="232"/>
        <w:ind w:firstLine="200"/>
        <w:jc w:val="both"/>
      </w:pPr>
      <w:r>
        <w:rPr>
          <w:rFonts w:ascii="Times New Roman" w:cs="Times New Roman" w:eastAsia="Times New Roman" w:hAnsi="Times New Roman"/>
          <w:sz w:val="20"/>
          <w:szCs w:val="20"/>
        </w:rPr>
        <w:t xml:space="preserve">One design decision changed directly from moving pilot to full scale: the classifier architecture (MLP confirmed over CNN and CNN+BiLSTM, though with a narrower margin than at pilot scale). A second is recommended but not yet incorporated into the headline results: an ablation indicates plain BCE would outperform the Focal Loss this paper's reference system still uses, evidence that was absent at pilot scale. We report both as a methodological finding: pilot-scale results should be treated as provisional until confirmed at full scale, and a validated ablation finding should not be presented as an adopted default until the full evaluation suite has actually been re-run under it. Future work includes that re-run, a second independent fraud dataset, a formal privacy analysis of the drift-detection loss signal and of DP-SGD's sensitivity assumptions under KMeans-SMOTE oversampling (Section VI), additional seeds for the high-variance drift condition, and an adversarial drift-injection threat model.</w:t>
      </w:r>
    </w:p>
    <w:p>
      <w:pPr>
        <w:spacing w:after="80" w:before="200"/>
        <w:jc w:val="left"/>
      </w:pPr>
      <w:r>
        <w:rPr>
          <w:rFonts w:ascii="Times New Roman" w:cs="Times New Roman" w:eastAsia="Times New Roman" w:hAnsi="Times New Roman"/>
          <w:b/>
          <w:bCs/>
          <w:i/>
          <w:iCs/>
          <w:sz w:val="20"/>
          <w:szCs w:val="20"/>
        </w:rPr>
        <w:t xml:space="preserve">Acknowledgment</w:t>
      </w:r>
    </w:p>
    <w:p>
      <w:pPr>
        <w:spacing w:after="200"/>
        <w:jc w:val="both"/>
      </w:pPr>
      <w:r>
        <w:rPr>
          <w:rFonts w:ascii="Times New Roman" w:cs="Times New Roman" w:eastAsia="Times New Roman" w:hAnsi="Times New Roman"/>
          <w:sz w:val="20"/>
          <w:szCs w:val="20"/>
        </w:rPr>
        <w:t xml:space="preserve">The authors thank the institution's GPU computing facility for providing access to the NVIDIA H100 cluster (via Altair Access) used for the full-scale evaluation reported in this paper.</w:t>
      </w:r>
    </w:p>
    <w:p>
      <w:pPr>
        <w:spacing w:after="100" w:before="100"/>
        <w:jc w:val="left"/>
      </w:pPr>
      <w:r>
        <w:rPr>
          <w:rFonts w:ascii="Times New Roman" w:cs="Times New Roman" w:eastAsia="Times New Roman" w:hAnsi="Times New Roman"/>
          <w:b/>
          <w:bCs/>
          <w:i/>
          <w:iCs/>
          <w:sz w:val="20"/>
          <w:szCs w:val="20"/>
        </w:rPr>
        <w:t xml:space="preserve">References</w:t>
      </w:r>
    </w:p>
    <w:p>
      <w:pPr>
        <w:spacing w:after="70" w:line="224"/>
        <w:ind w:left="260" w:hanging="260"/>
      </w:pPr>
      <w:r>
        <w:rPr>
          <w:rFonts w:ascii="Times New Roman" w:cs="Times New Roman" w:eastAsia="Times New Roman" w:hAnsi="Times New Roman"/>
          <w:sz w:val="16"/>
          <w:szCs w:val="16"/>
        </w:rPr>
        <w:t xml:space="preserve">[1] </w:t>
      </w:r>
      <w:r>
        <w:rPr>
          <w:rFonts w:ascii="Times New Roman" w:cs="Times New Roman" w:eastAsia="Times New Roman" w:hAnsi="Times New Roman"/>
          <w:sz w:val="16"/>
          <w:szCs w:val="16"/>
        </w:rPr>
        <w:t xml:space="preserve">McMahan, B., Moore, E., Ramage, D., Hampson, S., &amp; Arcas, B. A. y. (2017). Communication-efficient learning of deep networks from decentralized data. In Proceedings of the 20th International Conference on Artificial Intelligence and Statistics (AISTATS) (Vol. 54, pp. 1273–1282). PMLR.</w:t>
      </w:r>
    </w:p>
    <w:p>
      <w:pPr>
        <w:spacing w:after="70" w:line="224"/>
        <w:ind w:left="260" w:hanging="260"/>
      </w:pPr>
      <w:r>
        <w:rPr>
          <w:rFonts w:ascii="Times New Roman" w:cs="Times New Roman" w:eastAsia="Times New Roman" w:hAnsi="Times New Roman"/>
          <w:sz w:val="16"/>
          <w:szCs w:val="16"/>
        </w:rPr>
        <w:t xml:space="preserve">[2] </w:t>
      </w:r>
      <w:r>
        <w:rPr>
          <w:rFonts w:ascii="Times New Roman" w:cs="Times New Roman" w:eastAsia="Times New Roman" w:hAnsi="Times New Roman"/>
          <w:sz w:val="16"/>
          <w:szCs w:val="16"/>
        </w:rPr>
        <w:t xml:space="preserve">European Parliament, &amp; Council of the European Union. (2016). Regulation (EU) 2016/679 (General Data Protection Regulation). Official Journal of the European Union, L119, 1–88.</w:t>
      </w:r>
    </w:p>
    <w:p>
      <w:pPr>
        <w:spacing w:after="70" w:line="224"/>
        <w:ind w:left="260" w:hanging="260"/>
      </w:pPr>
      <w:r>
        <w:rPr>
          <w:rFonts w:ascii="Times New Roman" w:cs="Times New Roman" w:eastAsia="Times New Roman" w:hAnsi="Times New Roman"/>
          <w:sz w:val="16"/>
          <w:szCs w:val="16"/>
        </w:rPr>
        <w:t xml:space="preserve">[3] </w:t>
      </w:r>
      <w:r>
        <w:rPr>
          <w:rFonts w:ascii="Times New Roman" w:cs="Times New Roman" w:eastAsia="Times New Roman" w:hAnsi="Times New Roman"/>
          <w:sz w:val="16"/>
          <w:szCs w:val="16"/>
        </w:rPr>
        <w:t xml:space="preserve">Shokri, R., Stronati, M., Song, C., &amp; Shmatikov, V. (2017). Membership inference attacks against machine learning models. In 2017 IEEE Symposium on Security and Privacy (SP) (pp. 3–18). IEEE. https://doi.org/10.1109/SP.2017.41</w:t>
      </w:r>
    </w:p>
    <w:p>
      <w:pPr>
        <w:spacing w:after="70" w:line="224"/>
        <w:ind w:left="260" w:hanging="260"/>
      </w:pPr>
      <w:r>
        <w:rPr>
          <w:rFonts w:ascii="Times New Roman" w:cs="Times New Roman" w:eastAsia="Times New Roman" w:hAnsi="Times New Roman"/>
          <w:sz w:val="16"/>
          <w:szCs w:val="16"/>
        </w:rPr>
        <w:t xml:space="preserve">[4] </w:t>
      </w:r>
      <w:r>
        <w:rPr>
          <w:rFonts w:ascii="Times New Roman" w:cs="Times New Roman" w:eastAsia="Times New Roman" w:hAnsi="Times New Roman"/>
          <w:sz w:val="16"/>
          <w:szCs w:val="16"/>
        </w:rPr>
        <w:t xml:space="preserve">Li, T., Sahu, A. K., Zaheer, M., Sanjabi, M., Talwalkar, A., &amp; Smith, V. (2020). Federated optimization in heterogeneous networks. In Proceedings of Machine Learning and Systems (Vol. 2, pp. 429–450).</w:t>
      </w:r>
    </w:p>
    <w:p>
      <w:pPr>
        <w:spacing w:after="70" w:line="224"/>
        <w:ind w:left="260" w:hanging="260"/>
      </w:pPr>
      <w:r>
        <w:rPr>
          <w:rFonts w:ascii="Times New Roman" w:cs="Times New Roman" w:eastAsia="Times New Roman" w:hAnsi="Times New Roman"/>
          <w:sz w:val="16"/>
          <w:szCs w:val="16"/>
        </w:rPr>
        <w:t xml:space="preserve">[5] </w:t>
      </w:r>
      <w:r>
        <w:rPr>
          <w:rFonts w:ascii="Times New Roman" w:cs="Times New Roman" w:eastAsia="Times New Roman" w:hAnsi="Times New Roman"/>
          <w:sz w:val="16"/>
          <w:szCs w:val="16"/>
        </w:rPr>
        <w:t xml:space="preserve">Bhattacharyya, S., Jha, S., Tharakunnel, K., &amp; Westland, J. C. (2011). Data mining for credit card fraud: A comparative study. Decision Support Systems, 50(3), 602–613. https://doi.org/10.1016/j.dss.2010.08.008</w:t>
      </w:r>
    </w:p>
    <w:p>
      <w:pPr>
        <w:spacing w:after="70" w:line="224"/>
        <w:ind w:left="260" w:hanging="260"/>
      </w:pPr>
      <w:r>
        <w:rPr>
          <w:rFonts w:ascii="Times New Roman" w:cs="Times New Roman" w:eastAsia="Times New Roman" w:hAnsi="Times New Roman"/>
          <w:sz w:val="16"/>
          <w:szCs w:val="16"/>
        </w:rPr>
        <w:t xml:space="preserve">[6] </w:t>
      </w:r>
      <w:r>
        <w:rPr>
          <w:rFonts w:ascii="Times New Roman" w:cs="Times New Roman" w:eastAsia="Times New Roman" w:hAnsi="Times New Roman"/>
          <w:sz w:val="16"/>
          <w:szCs w:val="16"/>
        </w:rPr>
        <w:t xml:space="preserve">Yang, W., Zhang, Y., Ye, K., Li, L., &amp; Xu, C.-Z. (2019). FFD: A federated learning based method for credit card fraud detection. In Proceedings of the IEEE International Congress on Big Data (BigData). IEEE.</w:t>
      </w:r>
    </w:p>
    <w:p>
      <w:pPr>
        <w:spacing w:after="70" w:line="224"/>
        <w:ind w:left="260" w:hanging="260"/>
      </w:pPr>
      <w:r>
        <w:rPr>
          <w:rFonts w:ascii="Times New Roman" w:cs="Times New Roman" w:eastAsia="Times New Roman" w:hAnsi="Times New Roman"/>
          <w:sz w:val="16"/>
          <w:szCs w:val="16"/>
        </w:rPr>
        <w:t xml:space="preserve">[7] </w:t>
      </w:r>
      <w:r>
        <w:rPr>
          <w:rFonts w:ascii="Times New Roman" w:cs="Times New Roman" w:eastAsia="Times New Roman" w:hAnsi="Times New Roman"/>
          <w:sz w:val="16"/>
          <w:szCs w:val="16"/>
        </w:rPr>
        <w:t xml:space="preserve">Aljunaid, S. K., Almheiri, S. J., Dawood, H., &amp; Khan, M. A. (2025). Secure and transparent banking: Explainable AI-driven federated learning model for financial fraud detection. Journal of Risk and Financial Management, 18(4), Article 179. https://doi.org/10.3390/jrfm18040179</w:t>
      </w:r>
    </w:p>
    <w:p>
      <w:pPr>
        <w:spacing w:after="70" w:line="224"/>
        <w:ind w:left="260" w:hanging="260"/>
      </w:pPr>
      <w:r>
        <w:rPr>
          <w:rFonts w:ascii="Times New Roman" w:cs="Times New Roman" w:eastAsia="Times New Roman" w:hAnsi="Times New Roman"/>
          <w:sz w:val="16"/>
          <w:szCs w:val="16"/>
        </w:rPr>
        <w:t xml:space="preserve">[8] </w:t>
      </w:r>
      <w:r>
        <w:rPr>
          <w:rFonts w:ascii="Times New Roman" w:cs="Times New Roman" w:eastAsia="Times New Roman" w:hAnsi="Times New Roman"/>
          <w:sz w:val="16"/>
          <w:szCs w:val="16"/>
        </w:rPr>
        <w:t xml:space="preserve">Abadi, M., Chu, A., Goodfellow, I., McMahan, H. B., Mironov, I., Talwar, K., &amp; Zhang, L. (2016). Deep learning with differential privacy. In Proceedings of the ACM SIGSAC Conference on Computer and Communications Security (CCS) (pp. 308–318). ACM.</w:t>
      </w:r>
    </w:p>
    <w:p>
      <w:pPr>
        <w:spacing w:after="70" w:line="224"/>
        <w:ind w:left="260" w:hanging="260"/>
      </w:pPr>
      <w:r>
        <w:rPr>
          <w:rFonts w:ascii="Times New Roman" w:cs="Times New Roman" w:eastAsia="Times New Roman" w:hAnsi="Times New Roman"/>
          <w:sz w:val="16"/>
          <w:szCs w:val="16"/>
        </w:rPr>
        <w:t xml:space="preserve">[9] </w:t>
      </w:r>
      <w:r>
        <w:rPr>
          <w:rFonts w:ascii="Times New Roman" w:cs="Times New Roman" w:eastAsia="Times New Roman" w:hAnsi="Times New Roman"/>
          <w:sz w:val="16"/>
          <w:szCs w:val="16"/>
        </w:rPr>
        <w:t xml:space="preserve">Mironov, I. (2017). Rényi differential privacy. In Proceedings of the IEEE Computer Security Foundations Symposium (CSF) (pp. 263–275). IEEE.</w:t>
      </w:r>
    </w:p>
    <w:p>
      <w:pPr>
        <w:spacing w:after="70" w:line="224"/>
        <w:ind w:left="260" w:hanging="260"/>
      </w:pPr>
      <w:r>
        <w:rPr>
          <w:rFonts w:ascii="Times New Roman" w:cs="Times New Roman" w:eastAsia="Times New Roman" w:hAnsi="Times New Roman"/>
          <w:sz w:val="16"/>
          <w:szCs w:val="16"/>
        </w:rPr>
        <w:t xml:space="preserve">[10] </w:t>
      </w:r>
      <w:r>
        <w:rPr>
          <w:rFonts w:ascii="Times New Roman" w:cs="Times New Roman" w:eastAsia="Times New Roman" w:hAnsi="Times New Roman"/>
          <w:sz w:val="16"/>
          <w:szCs w:val="16"/>
        </w:rPr>
        <w:t xml:space="preserve">Yousefpour, A., Shilov, I., Sablayrolles, A., Testuggine, D., Prasad, K., Malek, M., Nguyen, J., Ghosh, S., Bharadwaj, A., Zhao, J., Cormode, G., &amp; Mironov, I. (2021). Opacus: User-friendly differential privacy library in PyTorch. arXiv. https://arxiv.org/abs/2109.12298</w:t>
      </w:r>
    </w:p>
    <w:p>
      <w:pPr>
        <w:spacing w:after="70" w:line="224"/>
        <w:ind w:left="260" w:hanging="260"/>
      </w:pPr>
      <w:r>
        <w:rPr>
          <w:rFonts w:ascii="Times New Roman" w:cs="Times New Roman" w:eastAsia="Times New Roman" w:hAnsi="Times New Roman"/>
          <w:sz w:val="16"/>
          <w:szCs w:val="16"/>
        </w:rPr>
        <w:t xml:space="preserve">[11] </w:t>
      </w:r>
      <w:r>
        <w:rPr>
          <w:rFonts w:ascii="Times New Roman" w:cs="Times New Roman" w:eastAsia="Times New Roman" w:hAnsi="Times New Roman"/>
          <w:sz w:val="16"/>
          <w:szCs w:val="16"/>
        </w:rPr>
        <w:t xml:space="preserve">McMahan, H. B., Ramage, D., Talwar, K., &amp; Zhang, L. (2018). Learning differentially private recurrent language models. In Proceedings of the International Conference on Learning Representations (ICLR).</w:t>
      </w:r>
    </w:p>
    <w:p>
      <w:pPr>
        <w:spacing w:after="70" w:line="224"/>
        <w:ind w:left="260" w:hanging="260"/>
      </w:pPr>
      <w:r>
        <w:rPr>
          <w:rFonts w:ascii="Times New Roman" w:cs="Times New Roman" w:eastAsia="Times New Roman" w:hAnsi="Times New Roman"/>
          <w:sz w:val="16"/>
          <w:szCs w:val="16"/>
        </w:rPr>
        <w:t xml:space="preserve">[12] </w:t>
      </w:r>
      <w:r>
        <w:rPr>
          <w:rFonts w:ascii="Times New Roman" w:cs="Times New Roman" w:eastAsia="Times New Roman" w:hAnsi="Times New Roman"/>
          <w:sz w:val="16"/>
          <w:szCs w:val="16"/>
        </w:rPr>
        <w:t xml:space="preserve">Bonawitz, K., Ivanov, V., Kreuter, B., Marcedone, A., McMahan, H. B., Patel, S., Ramage, D., Segal, A., &amp; Seth, K. (2017). Practical secure aggregation for privacy-preserving machine learning. In Proceedings of the ACM SIGSAC Conference on Computer and Communications Security (CCS) (pp. 1175–1191). ACM.</w:t>
      </w:r>
    </w:p>
    <w:p>
      <w:pPr>
        <w:spacing w:after="70" w:line="224"/>
        <w:ind w:left="260" w:hanging="260"/>
      </w:pPr>
      <w:r>
        <w:rPr>
          <w:rFonts w:ascii="Times New Roman" w:cs="Times New Roman" w:eastAsia="Times New Roman" w:hAnsi="Times New Roman"/>
          <w:sz w:val="16"/>
          <w:szCs w:val="16"/>
        </w:rPr>
        <w:t xml:space="preserve">[13] </w:t>
      </w:r>
      <w:r>
        <w:rPr>
          <w:rFonts w:ascii="Times New Roman" w:cs="Times New Roman" w:eastAsia="Times New Roman" w:hAnsi="Times New Roman"/>
          <w:sz w:val="16"/>
          <w:szCs w:val="16"/>
        </w:rPr>
        <w:t xml:space="preserve">Chawla, N. V., Bowyer, K. W., Hall, L. O., &amp; Kegelmeyer, W. P. (2002). SMOTE: Synthetic minority over-sampling technique. Journal of Artificial Intelligence Research, 16(1), 321–357. https://doi.org/10.1613/jair.953</w:t>
      </w:r>
    </w:p>
    <w:p>
      <w:pPr>
        <w:spacing w:after="70" w:line="224"/>
        <w:ind w:left="260" w:hanging="260"/>
      </w:pPr>
      <w:r>
        <w:rPr>
          <w:rFonts w:ascii="Times New Roman" w:cs="Times New Roman" w:eastAsia="Times New Roman" w:hAnsi="Times New Roman"/>
          <w:sz w:val="16"/>
          <w:szCs w:val="16"/>
        </w:rPr>
        <w:t xml:space="preserve">[14] </w:t>
      </w:r>
      <w:r>
        <w:rPr>
          <w:rFonts w:ascii="Times New Roman" w:cs="Times New Roman" w:eastAsia="Times New Roman" w:hAnsi="Times New Roman"/>
          <w:sz w:val="16"/>
          <w:szCs w:val="16"/>
        </w:rPr>
        <w:t xml:space="preserve">Last, F., Douzas, G., &amp; Bacao, F. (2017). Oversampling for imbalanced learning based on k-means and SMOTE. arXiv. https://arxiv.org/abs/1711.00837</w:t>
      </w:r>
    </w:p>
    <w:p>
      <w:pPr>
        <w:spacing w:after="70" w:line="224"/>
        <w:ind w:left="260" w:hanging="260"/>
      </w:pPr>
      <w:r>
        <w:rPr>
          <w:rFonts w:ascii="Times New Roman" w:cs="Times New Roman" w:eastAsia="Times New Roman" w:hAnsi="Times New Roman"/>
          <w:sz w:val="16"/>
          <w:szCs w:val="16"/>
        </w:rPr>
        <w:t xml:space="preserve">[15] </w:t>
      </w:r>
      <w:r>
        <w:rPr>
          <w:rFonts w:ascii="Times New Roman" w:cs="Times New Roman" w:eastAsia="Times New Roman" w:hAnsi="Times New Roman"/>
          <w:sz w:val="16"/>
          <w:szCs w:val="16"/>
        </w:rPr>
        <w:t xml:space="preserve">Wilson, D. L. (1972). Asymptotic properties of nearest neighbor rules using edited data. IEEE Transactions on Systems, Man, and Cybernetics, 2(3), 408–421. https://doi.org/10.1109/TSMC.1972.4309137</w:t>
      </w:r>
    </w:p>
    <w:p>
      <w:pPr>
        <w:spacing w:after="70" w:line="224"/>
        <w:ind w:left="260" w:hanging="260"/>
      </w:pPr>
      <w:r>
        <w:rPr>
          <w:rFonts w:ascii="Times New Roman" w:cs="Times New Roman" w:eastAsia="Times New Roman" w:hAnsi="Times New Roman"/>
          <w:sz w:val="16"/>
          <w:szCs w:val="16"/>
        </w:rPr>
        <w:t xml:space="preserve">[16] </w:t>
      </w:r>
      <w:r>
        <w:rPr>
          <w:rFonts w:ascii="Times New Roman" w:cs="Times New Roman" w:eastAsia="Times New Roman" w:hAnsi="Times New Roman"/>
          <w:sz w:val="16"/>
          <w:szCs w:val="16"/>
        </w:rPr>
        <w:t xml:space="preserve">Lin, T.-Y., Goyal, P., Girshick, R., He, K., &amp; Dollár, P. (2017). Focal loss for dense object detection. In Proceedings of the IEEE International Conference on Computer Vision (ICCV) (pp. 2999–3007). IEEE.</w:t>
      </w:r>
    </w:p>
    <w:p>
      <w:pPr>
        <w:spacing w:after="70" w:line="224"/>
        <w:ind w:left="260" w:hanging="260"/>
      </w:pPr>
      <w:r>
        <w:rPr>
          <w:rFonts w:ascii="Times New Roman" w:cs="Times New Roman" w:eastAsia="Times New Roman" w:hAnsi="Times New Roman"/>
          <w:sz w:val="16"/>
          <w:szCs w:val="16"/>
        </w:rPr>
        <w:t xml:space="preserve">[17] </w:t>
      </w:r>
      <w:r>
        <w:rPr>
          <w:rFonts w:ascii="Times New Roman" w:cs="Times New Roman" w:eastAsia="Times New Roman" w:hAnsi="Times New Roman"/>
          <w:sz w:val="16"/>
          <w:szCs w:val="16"/>
        </w:rPr>
        <w:t xml:space="preserve">Page, E. S. (1954). Continuous inspection schemes. Biometrika, 41(1/2), 100–115. https://doi.org/10.1093/biomet/41.1-2.100</w:t>
      </w:r>
    </w:p>
    <w:p>
      <w:pPr>
        <w:spacing w:after="70" w:line="224"/>
        <w:ind w:left="260" w:hanging="260"/>
      </w:pPr>
      <w:r>
        <w:rPr>
          <w:rFonts w:ascii="Times New Roman" w:cs="Times New Roman" w:eastAsia="Times New Roman" w:hAnsi="Times New Roman"/>
          <w:sz w:val="16"/>
          <w:szCs w:val="16"/>
        </w:rPr>
        <w:t xml:space="preserve">[18] </w:t>
      </w:r>
      <w:r>
        <w:rPr>
          <w:rFonts w:ascii="Times New Roman" w:cs="Times New Roman" w:eastAsia="Times New Roman" w:hAnsi="Times New Roman"/>
          <w:sz w:val="16"/>
          <w:szCs w:val="16"/>
        </w:rPr>
        <w:t xml:space="preserve">Gama, J., Žliobaitė, I., Bifet, A., Pechenizkiy, M., &amp; Bouchachia, A. (2014). A survey on concept drift adaptation. ACM Computing Surveys, 46(4), Article 44, 1–37. https://doi.org/10.1145/2523813</w:t>
      </w:r>
    </w:p>
    <w:p>
      <w:pPr>
        <w:spacing w:after="70" w:line="224"/>
        <w:ind w:left="260" w:hanging="260"/>
      </w:pPr>
      <w:r>
        <w:rPr>
          <w:rFonts w:ascii="Times New Roman" w:cs="Times New Roman" w:eastAsia="Times New Roman" w:hAnsi="Times New Roman"/>
          <w:sz w:val="16"/>
          <w:szCs w:val="16"/>
        </w:rPr>
        <w:t xml:space="preserve">[19] </w:t>
      </w:r>
      <w:r>
        <w:rPr>
          <w:rFonts w:ascii="Times New Roman" w:cs="Times New Roman" w:eastAsia="Times New Roman" w:hAnsi="Times New Roman"/>
          <w:sz w:val="16"/>
          <w:szCs w:val="16"/>
        </w:rPr>
        <w:t xml:space="preserve">Blanchard, P., El Mhamdi, E. M., Guerraoui, R., &amp; Stainer, J. (2017). Machine learning with adversaries: Byzantine tolerant gradient descent. In Advances in Neural Information Processing Systems 30 (NeurIPS) (pp. 119–129).</w:t>
      </w:r>
    </w:p>
    <w:p>
      <w:pPr>
        <w:spacing w:after="70" w:line="224"/>
        <w:ind w:left="260" w:hanging="260"/>
      </w:pPr>
      <w:r>
        <w:rPr>
          <w:rFonts w:ascii="Times New Roman" w:cs="Times New Roman" w:eastAsia="Times New Roman" w:hAnsi="Times New Roman"/>
          <w:sz w:val="16"/>
          <w:szCs w:val="16"/>
        </w:rPr>
        <w:t xml:space="preserve">[20] </w:t>
      </w:r>
      <w:r>
        <w:rPr>
          <w:rFonts w:ascii="Times New Roman" w:cs="Times New Roman" w:eastAsia="Times New Roman" w:hAnsi="Times New Roman"/>
          <w:sz w:val="16"/>
          <w:szCs w:val="16"/>
        </w:rPr>
        <w:t xml:space="preserve">Dal Pozzolo, A., Caelen, O., Johnson, R. A., &amp; Bontempi, G. (2015). Calibrating probability with undersampling for unbalanced classification. In Proceedings of the IEEE Symposium on Computational Intelligence and Data Mining (CIDM). IEEE.</w:t>
      </w:r>
    </w:p>
    <w:p>
      <w:pPr>
        <w:spacing w:after="70" w:line="224"/>
        <w:ind w:left="260" w:hanging="260"/>
      </w:pPr>
      <w:r>
        <w:rPr>
          <w:rFonts w:ascii="Times New Roman" w:cs="Times New Roman" w:eastAsia="Times New Roman" w:hAnsi="Times New Roman"/>
          <w:sz w:val="16"/>
          <w:szCs w:val="16"/>
        </w:rPr>
        <w:t xml:space="preserve">[21] </w:t>
      </w:r>
      <w:r>
        <w:rPr>
          <w:rFonts w:ascii="Times New Roman" w:cs="Times New Roman" w:eastAsia="Times New Roman" w:hAnsi="Times New Roman"/>
          <w:sz w:val="16"/>
          <w:szCs w:val="16"/>
        </w:rPr>
        <w:t xml:space="preserve">Saito, T., &amp; Rehmsmeier, M. (2015). The precision-recall plot is more informative than the ROC plot when evaluating binary classifiers on imbalanced datasets. PLOS ONE, 10(3), e0118432. https://doi.org/10.1371/journal.pone.0118432</w:t>
      </w:r>
    </w:p>
    <w:p>
      <w:pPr>
        <w:spacing w:after="70" w:line="224"/>
        <w:ind w:left="260" w:hanging="260"/>
      </w:pPr>
      <w:r>
        <w:rPr>
          <w:rFonts w:ascii="Times New Roman" w:cs="Times New Roman" w:eastAsia="Times New Roman" w:hAnsi="Times New Roman"/>
          <w:sz w:val="16"/>
          <w:szCs w:val="16"/>
        </w:rPr>
        <w:t xml:space="preserve">[22] </w:t>
      </w:r>
      <w:r>
        <w:rPr>
          <w:rFonts w:ascii="Times New Roman" w:cs="Times New Roman" w:eastAsia="Times New Roman" w:hAnsi="Times New Roman"/>
          <w:sz w:val="16"/>
          <w:szCs w:val="16"/>
        </w:rPr>
        <w:t xml:space="preserve">Chen, T., &amp; Guestrin, C. (2016). XGBoost: A scalable tree boosting system. In Proceedings of the 22nd ACM SIGKDD International Conference on Knowledge Discovery and Data Mining (KDD) (pp. 785–794). ACM.</w:t>
      </w:r>
    </w:p>
    <w:p>
      <w:pPr>
        <w:spacing w:after="70" w:line="224"/>
        <w:ind w:left="260" w:hanging="260"/>
      </w:pPr>
      <w:r>
        <w:rPr>
          <w:rFonts w:ascii="Times New Roman" w:cs="Times New Roman" w:eastAsia="Times New Roman" w:hAnsi="Times New Roman"/>
          <w:sz w:val="16"/>
          <w:szCs w:val="16"/>
        </w:rPr>
        <w:t xml:space="preserve">[23] </w:t>
      </w:r>
      <w:r>
        <w:rPr>
          <w:rFonts w:ascii="Times New Roman" w:cs="Times New Roman" w:eastAsia="Times New Roman" w:hAnsi="Times New Roman"/>
          <w:sz w:val="16"/>
          <w:szCs w:val="16"/>
        </w:rPr>
        <w:t xml:space="preserve">Zhu, H., Xu, J., Liu, S., &amp; Jin, Y. (2021). Federated learning on non-IID data: A survey. Neurocomputing, 465, 371–390. https://doi.org/10.1016/j.neucom.2021.07.098</w:t>
      </w:r>
    </w:p>
    <w:p>
      <w:pPr>
        <w:spacing w:after="70" w:line="224"/>
        <w:ind w:left="260" w:hanging="260"/>
      </w:pPr>
      <w:r>
        <w:rPr>
          <w:rFonts w:ascii="Times New Roman" w:cs="Times New Roman" w:eastAsia="Times New Roman" w:hAnsi="Times New Roman"/>
          <w:sz w:val="16"/>
          <w:szCs w:val="16"/>
        </w:rPr>
        <w:t xml:space="preserve">[24] </w:t>
      </w:r>
      <w:r>
        <w:rPr>
          <w:rFonts w:ascii="Times New Roman" w:cs="Times New Roman" w:eastAsia="Times New Roman" w:hAnsi="Times New Roman"/>
          <w:sz w:val="16"/>
          <w:szCs w:val="16"/>
        </w:rPr>
        <w:t xml:space="preserve">Kairouz, P., McMahan, H. B., et al. (2021). Advances and open problems in federated learning. Foundations and Trends in Machine Learning, 14(1–2), 1–210. https://doi.org/10.1561/2200000083</w:t>
      </w:r>
    </w:p>
    <w:p>
      <w:pPr>
        <w:spacing w:after="70" w:line="224"/>
        <w:ind w:left="260" w:hanging="260"/>
      </w:pPr>
      <w:r>
        <w:rPr>
          <w:rFonts w:ascii="Times New Roman" w:cs="Times New Roman" w:eastAsia="Times New Roman" w:hAnsi="Times New Roman"/>
          <w:sz w:val="16"/>
          <w:szCs w:val="16"/>
        </w:rPr>
        <w:t xml:space="preserve">[25] </w:t>
      </w:r>
      <w:r>
        <w:rPr>
          <w:rFonts w:ascii="Times New Roman" w:cs="Times New Roman" w:eastAsia="Times New Roman" w:hAnsi="Times New Roman"/>
          <w:sz w:val="16"/>
          <w:szCs w:val="16"/>
        </w:rPr>
        <w:t xml:space="preserve">IEEE Standards Association. (2020). IEEE guide for architectural framework and application of federated machine learning (IEEE Std 3652.1-2020).</w:t>
      </w:r>
    </w:p>
    <w:p>
      <w:pPr>
        <w:spacing w:after="70" w:line="224"/>
        <w:ind w:left="260" w:hanging="260"/>
      </w:pPr>
      <w:r>
        <w:rPr>
          <w:rFonts w:ascii="Times New Roman" w:cs="Times New Roman" w:eastAsia="Times New Roman" w:hAnsi="Times New Roman"/>
          <w:sz w:val="16"/>
          <w:szCs w:val="16"/>
        </w:rPr>
        <w:t xml:space="preserve">[26] </w:t>
      </w:r>
      <w:r>
        <w:rPr>
          <w:rFonts w:ascii="Times New Roman" w:cs="Times New Roman" w:eastAsia="Times New Roman" w:hAnsi="Times New Roman"/>
          <w:sz w:val="16"/>
          <w:szCs w:val="16"/>
        </w:rPr>
        <w:t xml:space="preserve">IEEE Standards Association. (2022). IEEE standard for data privacy process (IEEE Std 7002-2022).</w:t>
      </w:r>
    </w:p>
    <w:sectPr>
      <w:type w:val="continuous"/>
      <w:pgSz w:w="12240" w:h="15840" w:orient="portrait"/>
      <w:pgMar w:top="1080" w:right="900" w:bottom="1440" w:left="900" w:header="708" w:footer="708" w:gutter="0"/>
      <w:pgNumType/>
      <w:cols w:space="288" w:num="2"/>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c4b0db57d292f2728075a2d42cdd5a7e76c3d4f1.png"/><Relationship Id="rId8" Type="http://schemas.openxmlformats.org/officeDocument/2006/relationships/image" Target="media/bf5ee61fed1f0403c2d8b341ad524f500acb7e45.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2026-09-21T13:31:02.909Z</dcterms:created>
  <dcterms:modified xsi:type="dcterms:W3CDTF">2026-09-21T13:31:02.914Z</dcterms:modified>
</cp:coreProperties>
</file>

<file path=docProps/custom.xml><?xml version="1.0" encoding="utf-8"?>
<Properties xmlns="http://schemas.openxmlformats.org/officeDocument/2006/custom-properties" xmlns:vt="http://schemas.openxmlformats.org/officeDocument/2006/docPropsVTypes"/>
</file>