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EBA-FFD: Adaptive Federated Fraud Detection under Differential Privacy and Concept Drift</w:t>
      </w:r>
    </w:p>
    <w:tbl>
      <w:tblPr>
        <w:tblW w:type="dxa" w:w="9720"/>
        <w:jc w:val="center"/>
        <w:tblBorders>
          <w:top w:val="none"/>
          <w:left w:val="none"/>
          <w:bottom w:val="none"/>
          <w:right w:val="none"/>
          <w:insideH w:val="none"/>
          <w:insideV w:val="none"/>
        </w:tblBorders>
      </w:tblPr>
      <w:tblGrid>
        <w:gridCol w:w="3240"/>
        <w:gridCol w:w="3240"/>
        <w:gridCol w:w="3240"/>
      </w:tblGrid>
      <w:tr>
        <w:tc>
          <w:tcPr>
            <w:tcW w:type="dxa" w:w="324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1st Shlok Shah</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shlokshah1310@gmail.com</w:t>
            </w:r>
          </w:p>
        </w:tc>
        <w:tc>
          <w:tcPr>
            <w:tcW w:type="dxa" w:w="324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2nd Rajvi Mahidhar</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rnmahidhar@gmail.com</w:t>
            </w:r>
          </w:p>
        </w:tc>
        <w:tc>
          <w:tcPr>
            <w:tcW w:type="dxa" w:w="324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3rd Swarnalata Bollavarapu</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Swarnalata.B@nmims.edu</w:t>
            </w:r>
          </w:p>
        </w:tc>
      </w:tr>
    </w:tbl>
    <w:p>
      <w:pPr>
        <w:spacing w:after="200"/>
      </w:pPr>
    </w:p>
    <w:p>
      <w:pPr>
        <w:sectPr>
          <w:type w:val="nextPage"/>
          <w:pgSz w:w="12240" w:h="15840" w:orient="portrait"/>
          <w:pgMar w:top="1080" w:right="900" w:bottom="1440" w:left="900" w:header="708" w:footer="708" w:gutter="0"/>
          <w:pgNumType/>
          <w:docGrid w:linePitch="360"/>
        </w:sectPr>
      </w:pPr>
    </w:p>
    <w:p>
      <w:pPr>
        <w:spacing w:after="12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Banks know a fraud ring rarely stops at one institution, but regulation keeps each bank's transaction data locked inside it — so we built EBA-FFD to test whether federated learning could let banks collaborate without ever sharing raw data, under a real, formally accounted privacy budget rather than a heuristic approximation. Two findings then reshaped the design. First, a bank whose data quality degrades mid-training — through a local fault or a fraud ring shifting tactics — could quietly poison the shared model, so we added an aggregation rule that reads each bank's training behavior and damps its influence the moment it looks wrong, without excluding it outright. Second, evaluating at full scale (100% of the ULB dataset, three seeds, up to 32 banks) revealed a real utility gap against a non-private baseline (F1 0.79 vs 0.83, p = 0.012) that a smaller pilot run had missed entirely. The resulting system holds F1 at 0.66 under sustained drift, where standard federated averaging collapses to 0.23 — and, in a final twist, a simpler classifier than the one we originally designed turned out to work best.</w:t>
      </w:r>
    </w:p>
    <w:p>
      <w:pPr>
        <w:spacing w:after="200"/>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federated learning; differential privacy; concept drift; fraud detection; class imbalance; adaptive aggregation; non-IID data</w:t>
      </w:r>
    </w:p>
    <w:p>
      <w:pPr>
        <w:spacing w:after="90" w:before="180"/>
        <w:jc w:val="center"/>
      </w:pPr>
      <w:r>
        <w:rPr>
          <w:rFonts w:ascii="Times New Roman" w:cs="Times New Roman" w:eastAsia="Times New Roman" w:hAnsi="Times New Roman"/>
          <w:b/>
          <w:bCs/>
          <w:sz w:val="20"/>
          <w:szCs w:val="20"/>
        </w:rPr>
        <w:t xml:space="preserve">I. INTRODUCTION</w:t>
      </w:r>
    </w:p>
    <w:p>
      <w:pPr>
        <w:spacing w:after="90" w:line="232"/>
        <w:ind w:firstLine="200"/>
        <w:jc w:val="both"/>
      </w:pPr>
      <w:r>
        <w:rPr>
          <w:rFonts w:ascii="Times New Roman" w:cs="Times New Roman" w:eastAsia="Times New Roman" w:hAnsi="Times New Roman"/>
          <w:sz w:val="20"/>
          <w:szCs w:val="20"/>
        </w:rPr>
        <w:t xml:space="preserve">Payment-card fraud rarely stays confined to one bank, so cross-institution collaboration should help detect it. Regulations such as the General Data Protection Regulation (GDPR) [2], however, generally prohibit banks from pooling raw transaction records. Federated learning (FL) [1] avoids this: each bank trains locally and only model updates, not raw data, leave its premises. Three properties of this setting are routinely under-addressed. First, client data is non-identically distributed (non-IID) across banks, so a fixed aggregation rule can be dominated by whichever bank is largest. Second, a privacy guarantee must be formal, not heuristic — trained models can themselves leak membership information about their training data [3], which is exactly what a rigorous differential privacy (DP) guarantee is designed to bound. Third, fraud tactics drift over time, and a bank whose update stream becomes corrupted should be down-weighted, not silently trusted.</w:t>
      </w:r>
    </w:p>
    <w:p>
      <w:pPr>
        <w:spacing w:after="90" w:line="232"/>
        <w:ind w:firstLine="200"/>
        <w:jc w:val="both"/>
      </w:pPr>
      <w:r>
        <w:rPr>
          <w:rFonts w:ascii="Times New Roman" w:cs="Times New Roman" w:eastAsia="Times New Roman" w:hAnsi="Times New Roman"/>
          <w:sz w:val="20"/>
          <w:szCs w:val="20"/>
        </w:rPr>
        <w:t xml:space="preserve">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 We further found that a utility gap invisible at small pilot scale became statistically significant once evaluated at full scale (Section V) — a caution for any small-scale FL evaluation.</w:t>
      </w:r>
    </w:p>
    <w:p>
      <w:pPr>
        <w:spacing w:after="90" w:line="232"/>
        <w:ind w:firstLine="200"/>
        <w:jc w:val="both"/>
      </w:pPr>
      <w:r>
        <w:rPr>
          <w:rFonts w:ascii="Times New Roman" w:cs="Times New Roman" w:eastAsia="Times New Roman" w:hAnsi="Times New Roman"/>
          <w:sz w:val="20"/>
          <w:szCs w:val="20"/>
        </w:rPr>
        <w:t xml:space="preserve">This paper's contributions are:</w:t>
      </w:r>
    </w:p>
    <w:p>
      <w:pPr>
        <w:spacing w:after="90" w:line="232"/>
        <w:ind w:left="260"/>
        <w:jc w:val="both"/>
      </w:pPr>
      <w:r>
        <w:rPr>
          <w:rFonts w:ascii="Times New Roman" w:cs="Times New Roman" w:eastAsia="Times New Roman" w:hAnsi="Times New Roman"/>
          <w:b/>
          <w:bCs/>
          <w:sz w:val="20"/>
          <w:szCs w:val="20"/>
        </w:rPr>
        <w:t xml:space="preserve">1) </w:t>
      </w:r>
      <w:r>
        <w:rPr>
          <w:rFonts w:ascii="Times New Roman" w:cs="Times New Roman" w:eastAsia="Times New Roman" w:hAnsi="Times New Roman"/>
          <w:sz w:val="20"/>
          <w:szCs w:val="20"/>
        </w:rPr>
        <w:t xml:space="preserve">An adaptive, trust-weighted aggregation rule, using a Page-Hinkley (PH) drift statistic on each client's training loss, that damps rather than excludes a drifting bank.</w:t>
      </w:r>
    </w:p>
    <w:p>
      <w:pPr>
        <w:spacing w:after="90" w:line="232"/>
        <w:ind w:left="260"/>
        <w:jc w:val="both"/>
      </w:pPr>
      <w:r>
        <w:rPr>
          <w:rFonts w:ascii="Times New Roman" w:cs="Times New Roman" w:eastAsia="Times New Roman" w:hAnsi="Times New Roman"/>
          <w:b/>
          <w:bCs/>
          <w:sz w:val="20"/>
          <w:szCs w:val="20"/>
        </w:rPr>
        <w:t xml:space="preserve">2) </w:t>
      </w:r>
      <w:r>
        <w:rPr>
          <w:rFonts w:ascii="Times New Roman" w:cs="Times New Roman" w:eastAsia="Times New Roman" w:hAnsi="Times New Roman"/>
          <w:sz w:val="20"/>
          <w:szCs w:val="20"/>
        </w:rPr>
        <w:t xml:space="preserve">Formally accounted, per-client differentially private stochastic gradient descent (DP-SGD), individually calibrated so banks of very different sizes reach one shared privacy budget.</w:t>
      </w:r>
    </w:p>
    <w:p>
      <w:pPr>
        <w:spacing w:after="90" w:line="232"/>
        <w:ind w:left="260"/>
        <w:jc w:val="both"/>
      </w:pPr>
      <w:r>
        <w:rPr>
          <w:rFonts w:ascii="Times New Roman" w:cs="Times New Roman" w:eastAsia="Times New Roman" w:hAnsi="Times New Roman"/>
          <w:b/>
          <w:bCs/>
          <w:sz w:val="20"/>
          <w:szCs w:val="20"/>
        </w:rPr>
        <w:t xml:space="preserve">3) </w:t>
      </w:r>
      <w:r>
        <w:rPr>
          <w:rFonts w:ascii="Times New Roman" w:cs="Times New Roman" w:eastAsia="Times New Roman" w:hAnsi="Times New Roman"/>
          <w:sz w:val="20"/>
          <w:szCs w:val="20"/>
        </w:rPr>
        <w:t xml:space="preserve">An architecture and loss function empirically right-sized for this DP-SGD noise regime: a plain multi-layer perceptron (MLP) with binary cross-entropy (BCE) loss, confirmed at full scale to beat convolutional and recurrent alternatives.</w:t>
      </w:r>
    </w:p>
    <w:p>
      <w:pPr>
        <w:spacing w:after="90" w:line="232"/>
        <w:ind w:left="260"/>
        <w:jc w:val="both"/>
      </w:pPr>
      <w:r>
        <w:rPr>
          <w:rFonts w:ascii="Times New Roman" w:cs="Times New Roman" w:eastAsia="Times New Roman" w:hAnsi="Times New Roman"/>
          <w:b/>
          <w:bCs/>
          <w:sz w:val="20"/>
          <w:szCs w:val="20"/>
        </w:rPr>
        <w:t xml:space="preserve">4) </w:t>
      </w:r>
      <w:r>
        <w:rPr>
          <w:rFonts w:ascii="Times New Roman" w:cs="Times New Roman" w:eastAsia="Times New Roman" w:hAnsi="Times New Roman"/>
          <w:sz w:val="20"/>
          <w:szCs w:val="20"/>
        </w:rPr>
        <w:t xml:space="preserve">A measurement protocol that avoids both pitfalls above by selecting rounds from validation data only, and reporting sustained post-drift performance rather than a best-round snapshot.</w:t>
      </w:r>
    </w:p>
    <w:p>
      <w:pPr>
        <w:spacing w:after="90" w:line="232"/>
        <w:ind w:left="260"/>
        <w:jc w:val="both"/>
      </w:pPr>
      <w:r>
        <w:rPr>
          <w:rFonts w:ascii="Times New Roman" w:cs="Times New Roman" w:eastAsia="Times New Roman" w:hAnsi="Times New Roman"/>
          <w:b/>
          <w:bCs/>
          <w:sz w:val="20"/>
          <w:szCs w:val="20"/>
        </w:rPr>
        <w:t xml:space="preserve">5) </w:t>
      </w:r>
      <w:r>
        <w:rPr>
          <w:rFonts w:ascii="Times New Roman" w:cs="Times New Roman" w:eastAsia="Times New Roman" w:hAnsi="Times New Roman"/>
          <w:sz w:val="20"/>
          <w:szCs w:val="20"/>
        </w:rPr>
        <w:t xml:space="preserve">A full-scale evaluation (100% data, 3 seeds, 4-32 banks) that corrects a pilot-scale finding — a baseline gap invisible at small scale, real and significant at full scale.</w:t>
      </w:r>
    </w:p>
    <w:p>
      <w:pPr>
        <w:spacing w:after="90" w:line="232"/>
        <w:ind w:firstLine="200"/>
        <w:jc w:val="both"/>
      </w:pPr>
      <w:r>
        <w:rPr>
          <w:rFonts w:ascii="Times New Roman" w:cs="Times New Roman" w:eastAsia="Times New Roman" w:hAnsi="Times New Roman"/>
          <w:sz w:val="20"/>
          <w:szCs w:val="20"/>
        </w:rPr>
        <w:t xml:space="preserve">Section II reviews related work. Section III describes EBA-FFD's design. Section IV details the experimental setup. Section V reports results, Section VI discusses limitations, and Section VII concludes.</w:t>
      </w:r>
    </w:p>
    <w:p>
      <w:pPr>
        <w:spacing w:after="90" w:before="180"/>
        <w:jc w:val="center"/>
      </w:pPr>
      <w:r>
        <w:rPr>
          <w:rFonts w:ascii="Times New Roman" w:cs="Times New Roman" w:eastAsia="Times New Roman" w:hAnsi="Times New Roman"/>
          <w:b/>
          <w:bCs/>
          <w:sz w:val="20"/>
          <w:szCs w:val="20"/>
        </w:rPr>
        <w:t xml:space="preserve">II. RELATED WORK</w:t>
      </w:r>
    </w:p>
    <w:p>
      <w:pPr>
        <w:spacing w:after="90" w:line="232"/>
        <w:ind w:firstLine="200"/>
        <w:jc w:val="both"/>
      </w:pPr>
      <w:r>
        <w:rPr>
          <w:rFonts w:ascii="Times New Roman" w:cs="Times New Roman" w:eastAsia="Times New Roman" w:hAnsi="Times New Roman"/>
          <w:sz w:val="20"/>
          <w:szCs w:val="20"/>
        </w:rPr>
        <w:t xml:space="preserve">Federated averaging (FedAvg) [1] trains a global model by averaging client weights in proportion to dataset size; FedProx [4] adds a proximal term restraining client drift under non-IID data and is our aggregation-level baseline. Non-federated fraud detection has a long history — Bhattacharyya et al. [5] establish tree-based ensembles as strong baselines, motivating our XGBoost comparison. Within federated fraud detection, Yang et al. [6] propose FFD and Aljunaid et al. [7] combine FL with explainable AI, but neither validates drift robustness with an injected-drift evaluation harness, a central contribution here.</w:t>
      </w:r>
    </w:p>
    <w:p>
      <w:pPr>
        <w:spacing w:after="90" w:line="232"/>
        <w:ind w:firstLine="200"/>
        <w:jc w:val="both"/>
      </w:pPr>
      <w:r>
        <w:rPr>
          <w:rFonts w:ascii="Times New Roman" w:cs="Times New Roman" w:eastAsia="Times New Roman" w:hAnsi="Times New Roman"/>
          <w:sz w:val="20"/>
          <w:szCs w:val="20"/>
        </w:rPr>
        <w:t xml:space="preserve">DP-SGD [8] clips per-sample gradients and adds calibrated Gaussian noise, with a Rényi differential privacy (RDP) [9] accountant composing the guarantee across steps; we use the Opacus library [10], used previously to train differentially private recurrent models at scale [11]. Secure aggregation [12] is a complementary cryptographic technique — hiding individual updates without bounding what the aggregate reveals — not used here since our threat model is a formal DP guarantee against exactly that aggregate-level leakage.</w:t>
      </w:r>
    </w:p>
    <w:p>
      <w:pPr>
        <w:spacing w:after="90" w:line="232"/>
        <w:ind w:firstLine="200"/>
        <w:jc w:val="both"/>
      </w:pPr>
      <w:r>
        <w:rPr>
          <w:rFonts w:ascii="Times New Roman" w:cs="Times New Roman" w:eastAsia="Times New Roman" w:hAnsi="Times New Roman"/>
          <w:sz w:val="20"/>
          <w:szCs w:val="20"/>
        </w:rPr>
        <w:t xml:space="preserve">SMOTE [13] and KMeans-SMOTE [14] generate synthetic minority examples; we follow with Edited Nearest Neighbours (ENN) cleaning [15]. Focal Loss [16] down-weights easy examples, but we found it net-harmful once balancing already handles imbalance at full scale (Section V). Concept drift is surveyed by Gama et al. [18]; the Page-Hinkley (PH) test [17] it catalogues is our drift-detection mechanism, chosen since it costs no extra privacy. Blanchard et al. [19] propose Krum, which excludes the most suspect client each round — our rule damps a drifting client's weight instead of excluding it.</w:t>
      </w:r>
    </w:p>
    <w:p>
      <w:pPr>
        <w:spacing w:after="90" w:before="180"/>
        <w:jc w:val="center"/>
      </w:pPr>
      <w:r>
        <w:rPr>
          <w:rFonts w:ascii="Times New Roman" w:cs="Times New Roman" w:eastAsia="Times New Roman" w:hAnsi="Times New Roman"/>
          <w:b/>
          <w:bCs/>
          <w:sz w:val="20"/>
          <w:szCs w:val="20"/>
        </w:rPr>
        <w:t xml:space="preserve">III. SYSTEM DESIGN</w:t>
      </w:r>
    </w:p>
    <w:p>
      <w:pPr>
        <w:spacing w:after="90" w:line="232"/>
        <w:ind w:firstLine="200"/>
        <w:jc w:val="both"/>
      </w:pPr>
      <w:r>
        <w:rPr>
          <w:rFonts w:ascii="Times New Roman" w:cs="Times New Roman" w:eastAsia="Times New Roman" w:hAnsi="Times New Roman"/>
          <w:sz w:val="20"/>
          <w:szCs w:val="20"/>
        </w:rPr>
        <w:t xml:space="preserve">EBA-FFD combines five components — non-IID partitioning, local class balancing, a right-sized classifier, DP-SGD local training, and drift-aware adaptive aggregation — into one federated pipeline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 that ever leaves the bank (its DP-noised weight update and scalar loss) — stays inside that bank's own boundary, with the server never seeing anything but already-noised, already-aggregated information.</w:t>
      </w:r>
    </w:p>
    <w:p>
      <w:pPr>
        <w:sectPr>
          <w:type w:val="continuous"/>
          <w:pgSz w:w="12240" w:h="15840" w:orient="portrait"/>
          <w:pgMar w:top="1080" w:right="900" w:bottom="1440" w:left="900" w:header="708" w:footer="708" w:gutter="0"/>
          <w:pgNumType/>
          <w:cols w:space="288" w:num="2"/>
          <w:docGrid w:linePitch="360"/>
        </w:sectPr>
      </w:pPr>
    </w:p>
    <w:p>
      <w:pPr>
        <w:spacing w:before="100"/>
        <w:jc w:val="center"/>
      </w:pPr>
      <w:r>
        <w:drawing>
          <wp:inline distT="0" distB="0" distL="0" distR="0">
            <wp:extent cx="5143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324100"/>
                    </a:xfrm>
                    <a:prstGeom prst="rect">
                      <a:avLst/>
                    </a:prstGeom>
                  </pic:spPr>
                </pic:pic>
              </a:graphicData>
            </a:graphic>
          </wp:inline>
        </w:drawing>
      </w:r>
    </w:p>
    <w:p>
      <w:pPr>
        <w:spacing w:after="140" w:before="60"/>
        <w:jc w:val="center"/>
      </w:pPr>
      <w:r>
        <w:rPr>
          <w:rFonts w:ascii="Times New Roman" w:cs="Times New Roman" w:eastAsia="Times New Roman" w:hAnsi="Times New Roman"/>
          <w:sz w:val="17"/>
          <w:szCs w:val="17"/>
        </w:rPr>
        <w:t xml:space="preserve">Fig. 1. EBA-FFD system architecture: per-round federated control flow.</w:t>
      </w:r>
    </w:p>
    <w:p>
      <w:pPr>
        <w:sectPr>
          <w:type w:val="continuous"/>
          <w:pgSz w:w="12240" w:h="15840" w:orient="portrait"/>
          <w:pgMar w:top="1080" w:right="900" w:bottom="1440" w:left="900" w:header="708" w:footer="708" w:gutter="0"/>
          <w:pgNumType/>
          <w:cols w:num="1"/>
          <w:docGrid w:linePitch="360"/>
        </w:sectPr>
      </w:pPr>
    </w:p>
    <w:p>
      <w:pPr>
        <w:spacing w:after="60" w:before="120"/>
        <w:jc w:val="left"/>
      </w:pPr>
      <w:r>
        <w:rPr>
          <w:rFonts w:ascii="Times New Roman" w:cs="Times New Roman" w:eastAsia="Times New Roman" w:hAnsi="Times New Roman"/>
          <w:b/>
          <w:bCs/>
          <w:i/>
          <w:iCs/>
          <w:sz w:val="20"/>
          <w:szCs w:val="20"/>
        </w:rPr>
        <w:t xml:space="preserve">A. Non-IID Data Partitioning</w:t>
      </w:r>
    </w:p>
    <w:p>
      <w:pPr>
        <w:spacing w:after="90" w:line="232"/>
        <w:ind w:firstLine="200"/>
        <w:jc w:val="both"/>
      </w:pPr>
      <w:r>
        <w:rPr>
          <w:rFonts w:ascii="Times New Roman" w:cs="Times New Roman" w:eastAsia="Times New Roman" w:hAnsi="Times New Roman"/>
          <w:sz w:val="20"/>
          <w:szCs w:val="20"/>
        </w:rPr>
        <w:t xml:space="preserve">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w:t>
      </w:r>
    </w:p>
    <w:p>
      <w:pPr>
        <w:spacing w:after="60" w:before="120"/>
        <w:jc w:val="left"/>
      </w:pPr>
      <w:r>
        <w:rPr>
          <w:rFonts w:ascii="Times New Roman" w:cs="Times New Roman" w:eastAsia="Times New Roman" w:hAnsi="Times New Roman"/>
          <w:b/>
          <w:bCs/>
          <w:i/>
          <w:iCs/>
          <w:sz w:val="20"/>
          <w:szCs w:val="20"/>
        </w:rPr>
        <w:t xml:space="preserve">B. Local Class Balancing</w:t>
      </w:r>
    </w:p>
    <w:p>
      <w:pPr>
        <w:spacing w:after="90" w:line="232"/>
        <w:ind w:firstLine="200"/>
        <w:jc w:val="both"/>
      </w:pPr>
      <w:r>
        <w:rPr>
          <w:rFonts w:ascii="Times New Roman" w:cs="Times New Roman" w:eastAsia="Times New Roman" w:hAnsi="Times New Roman"/>
          <w:sz w:val="20"/>
          <w:szCs w:val="20"/>
        </w:rPr>
        <w:t xml:space="preserve">Each client independently balances its local training data every round using KMeans-SMOTE, falling back to plain SMOTE for clients whose cluster structure is too small, followed by ENN cleaning. This step never leaves the client and does not touch the DP-SGD privacy budget.</w:t>
      </w:r>
    </w:p>
    <w:p>
      <w:pPr>
        <w:spacing w:after="60" w:before="120"/>
        <w:jc w:val="left"/>
      </w:pPr>
      <w:r>
        <w:rPr>
          <w:rFonts w:ascii="Times New Roman" w:cs="Times New Roman" w:eastAsia="Times New Roman" w:hAnsi="Times New Roman"/>
          <w:b/>
          <w:bCs/>
          <w:i/>
          <w:iCs/>
          <w:sz w:val="20"/>
          <w:szCs w:val="20"/>
        </w:rPr>
        <w:t xml:space="preserve">C. Right-Sized Classifier</w:t>
      </w:r>
    </w:p>
    <w:p>
      <w:pPr>
        <w:spacing w:after="90" w:line="232"/>
        <w:ind w:firstLine="200"/>
        <w:jc w:val="both"/>
      </w:pPr>
      <w:r>
        <w:rPr>
          <w:rFonts w:ascii="Times New Roman" w:cs="Times New Roman" w:eastAsia="Times New Roman" w:hAnsi="Times New Roman"/>
          <w:sz w:val="20"/>
          <w:szCs w:val="20"/>
        </w:rPr>
        <w:t xml:space="preserve">An initial capacity sweep at matched ε = 3.0 compared a convolutional neural network (CNN)-only design against a CNN plus bidirectional long short-term memory (BiLSTM) design and found the recurrent block cost 0.12-0.15 F1, since a BiLSTM's per-timestep, per-sample gradients accumulate DP-SGD noise faster than a CNN's. A follow-up check confirmed at three seeds that a plain MLP head, with no convolutional or recurrent block, consistently beats CNN-only (F1 0.74 vs 0.72, 0.80 vs 0.78, 0.80 vs 0.78). EBA-FFD uses this MLP classifier; the CNN-only and CNN+BiLSTM variants are retained as ablation arms (Table III). The full-scale evaluation confirms the same ordering, with a narrower margin (ΔF1 −0.01 for CNN-only vs the MLP default).</w:t>
      </w:r>
    </w:p>
    <w:p>
      <w:pPr>
        <w:spacing w:after="60" w:before="120"/>
        <w:jc w:val="left"/>
      </w:pPr>
      <w:r>
        <w:rPr>
          <w:rFonts w:ascii="Times New Roman" w:cs="Times New Roman" w:eastAsia="Times New Roman" w:hAnsi="Times New Roman"/>
          <w:b/>
          <w:bCs/>
          <w:i/>
          <w:iCs/>
          <w:sz w:val="20"/>
          <w:szCs w:val="20"/>
        </w:rPr>
        <w:t xml:space="preserve">D. Loss Function</w:t>
      </w:r>
    </w:p>
    <w:p>
      <w:pPr>
        <w:spacing w:after="90" w:line="232"/>
        <w:ind w:firstLine="200"/>
        <w:jc w:val="both"/>
      </w:pPr>
      <w:r>
        <w:rPr>
          <w:rFonts w:ascii="Times New Roman" w:cs="Times New Roman" w:eastAsia="Times New Roman" w:hAnsi="Times New Roman"/>
          <w:sz w:val="20"/>
          <w:szCs w:val="20"/>
        </w:rPr>
        <w:t xml:space="preserve">Training originally used Focal Loss (α = 0.25, γ = 2.0). At pilot scale this made no measurable difference against plain BCE. At full scale, plain BCE outperformed Focal Loss (F1 0.82 vs 0.79, recall 0.79 vs 0.75) — the largest gain in the entire ablation table. We interpret this as KMeans-SMOTE/ENN balancing already handling the imbalance problem Focal Loss was meant to address once enough real data is available. EBA-FFD now uses plain BCE by default; Focal Loss is retained as an ablation arm.</w:t>
      </w:r>
    </w:p>
    <w:p>
      <w:pPr>
        <w:spacing w:after="60" w:before="120"/>
        <w:jc w:val="left"/>
      </w:pPr>
      <w:r>
        <w:rPr>
          <w:rFonts w:ascii="Times New Roman" w:cs="Times New Roman" w:eastAsia="Times New Roman" w:hAnsi="Times New Roman"/>
          <w:b/>
          <w:bCs/>
          <w:i/>
          <w:iCs/>
          <w:sz w:val="20"/>
          <w:szCs w:val="20"/>
        </w:rPr>
        <w:t xml:space="preserve">E. Differentially Private Local Training</w:t>
      </w:r>
    </w:p>
    <w:p>
      <w:pPr>
        <w:spacing w:after="90" w:line="232"/>
        <w:ind w:firstLine="200"/>
        <w:jc w:val="both"/>
      </w:pPr>
      <w:r>
        <w:rPr>
          <w:rFonts w:ascii="Times New Roman" w:cs="Times New Roman" w:eastAsia="Times New Roman" w:hAnsi="Times New Roman"/>
          <w:sz w:val="20"/>
          <w:szCs w:val="20"/>
        </w:rPr>
        <w:t xml:space="preserve">Each client trains under DP-SGD via Opacus [10]: per-sample gradients are clipped to norm C = 1.0 and summed gradients are perturbed with Gaussian noise, with an RDP accountant [9] composing the realized (ε, δ) guarantee across every step and round. Each client's noise multiplier σₖ is individually solved for so every client reaches the same target budget (ε = 3.0, δ = 1×10⁻⁵) despite differing dataset sizes and step counts. Table II reports the resulting per-bank calibration.</w:t>
      </w:r>
    </w:p>
    <w:p>
      <w:pPr>
        <w:spacing w:after="60" w:before="120"/>
        <w:jc w:val="left"/>
      </w:pPr>
      <w:r>
        <w:rPr>
          <w:rFonts w:ascii="Times New Roman" w:cs="Times New Roman" w:eastAsia="Times New Roman" w:hAnsi="Times New Roman"/>
          <w:b/>
          <w:bCs/>
          <w:i/>
          <w:iCs/>
          <w:sz w:val="20"/>
          <w:szCs w:val="20"/>
        </w:rPr>
        <w:t xml:space="preserve">F. Drift Detection and Adaptive Aggregation</w:t>
      </w:r>
    </w:p>
    <w:p>
      <w:pPr>
        <w:spacing w:after="90" w:line="232"/>
        <w:ind w:firstLine="200"/>
        <w:jc w:val="both"/>
      </w:pPr>
      <w:r>
        <w:rPr>
          <w:rFonts w:ascii="Times New Roman" w:cs="Times New Roman" w:eastAsia="Times New Roman" w:hAnsi="Times New Roman"/>
          <w:sz w:val="20"/>
          <w:szCs w:val="20"/>
        </w:rPr>
        <w:t xml:space="preserve">Each client's mean local training loss is fed into a per-client PH statistic [17]. A client whose cumulative deviation from its running mean loss exceeds a threshold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spacing w:after="60" w:before="120"/>
        <w:jc w:val="left"/>
      </w:pPr>
      <w:r>
        <w:rPr>
          <w:rFonts w:ascii="Times New Roman" w:cs="Times New Roman" w:eastAsia="Times New Roman" w:hAnsi="Times New Roman"/>
          <w:b/>
          <w:bCs/>
          <w:i/>
          <w:iCs/>
          <w:sz w:val="20"/>
          <w:szCs w:val="20"/>
        </w:rPr>
        <w:t xml:space="preserve">G. Drift Injection Evaluation Harness</w:t>
      </w:r>
    </w:p>
    <w:p>
      <w:pPr>
        <w:spacing w:after="90" w:line="232"/>
        <w:ind w:firstLine="200"/>
        <w:jc w:val="both"/>
      </w:pPr>
      <w:r>
        <w:rPr>
          <w:rFonts w:ascii="Times New Roman" w:cs="Times New Roman" w:eastAsia="Times New Roman" w:hAnsi="Times New Roman"/>
          <w:sz w:val="20"/>
          <w:szCs w:val="20"/>
        </w:rPr>
        <w:t xml:space="preserve">We inject drift mid-training as a label-flip on the federation's largest client (by sample count, determined per seed), rather than a covariate shift, since a covariate-shift injection was found to be neutralized by the classifier's normalization layer before it reaches the loss. We target the largest client, not a fixed index, since a fixed index can land on a near-empty client under some Dirichlet partitions, making drift injection a no-op.</w:t>
      </w:r>
    </w:p>
    <w:p>
      <w:pPr>
        <w:spacing w:after="90" w:before="180"/>
        <w:jc w:val="center"/>
      </w:pPr>
      <w:r>
        <w:rPr>
          <w:rFonts w:ascii="Times New Roman" w:cs="Times New Roman" w:eastAsia="Times New Roman" w:hAnsi="Times New Roman"/>
          <w:b/>
          <w:bCs/>
          <w:sz w:val="20"/>
          <w:szCs w:val="20"/>
        </w:rPr>
        <w:t xml:space="preserve">IV. EXPERIMENTAL SETUP</w:t>
      </w:r>
    </w:p>
    <w:p>
      <w:pPr>
        <w:spacing w:after="60" w:before="120"/>
        <w:jc w:val="left"/>
      </w:pPr>
      <w:r>
        <w:rPr>
          <w:rFonts w:ascii="Times New Roman" w:cs="Times New Roman" w:eastAsia="Times New Roman" w:hAnsi="Times New Roman"/>
          <w:b/>
          <w:bCs/>
          <w:i/>
          <w:iCs/>
          <w:sz w:val="20"/>
          <w:szCs w:val="20"/>
        </w:rPr>
        <w:t xml:space="preserve">A. Dataset</w:t>
      </w:r>
    </w:p>
    <w:p>
      <w:pPr>
        <w:spacing w:after="90" w:line="232"/>
        <w:ind w:firstLine="200"/>
        <w:jc w:val="both"/>
      </w:pPr>
      <w:r>
        <w:rPr>
          <w:rFonts w:ascii="Times New Roman" w:cs="Times New Roman" w:eastAsia="Times New Roman" w:hAnsi="Times New Roman"/>
          <w:sz w:val="20"/>
          <w:szCs w:val="20"/>
        </w:rPr>
        <w:t xml:space="preserve">Experiments use the ULB European cardholder credit-card transaction dataset [20]: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public, widely used benchmark in the federated-fraud-detection literature [6], [7], which keeps our results comparable to prior work; and its extreme, realistic class imbalance (0.173% fraud) directly matches the imbalance-handling problem this paper addresses. We did not conduct a formal empirical comparison against alternative datasets — this is a stated selection rationale, not a rejection study.</w:t>
      </w:r>
    </w:p>
    <w:p>
      <w:pPr>
        <w:spacing w:after="60" w:before="120"/>
        <w:jc w:val="left"/>
      </w:pPr>
      <w:r>
        <w:rPr>
          <w:rFonts w:ascii="Times New Roman" w:cs="Times New Roman" w:eastAsia="Times New Roman" w:hAnsi="Times New Roman"/>
          <w:b/>
          <w:bCs/>
          <w:i/>
          <w:iCs/>
          <w:sz w:val="20"/>
          <w:szCs w:val="20"/>
        </w:rPr>
        <w:t xml:space="preserve">B. Full-Scale Configuration</w:t>
      </w:r>
    </w:p>
    <w:p>
      <w:pPr>
        <w:spacing w:after="90" w:line="232"/>
        <w:ind w:firstLine="200"/>
        <w:jc w:val="both"/>
      </w:pPr>
      <w:r>
        <w:rPr>
          <w:rFonts w:ascii="Times New Roman" w:cs="Times New Roman" w:eastAsia="Times New Roman" w:hAnsi="Times New Roman"/>
          <w:sz w:val="20"/>
          <w:szCs w:val="20"/>
        </w:rPr>
        <w:t xml:space="preserve">Results in Section V are from a full-scale run on a GPU cluster (Altair Access, NVIDIA H100): 100% of the dataset, ten communication rounds, three local epochs per round, three seeds ({42, 43, 44}), and federation sizes of 4, 8, 16, and 32 simulated banks (Dirichlet α = 0.5). This supersedes an earlier pilot-scale evaluation (20% subsample, two seeds) used only to validate the methodology before committing to this run.</w:t>
      </w:r>
    </w:p>
    <w:p>
      <w:pPr>
        <w:spacing w:after="60" w:before="120"/>
        <w:jc w:val="left"/>
      </w:pPr>
      <w:r>
        <w:rPr>
          <w:rFonts w:ascii="Times New Roman" w:cs="Times New Roman" w:eastAsia="Times New Roman" w:hAnsi="Times New Roman"/>
          <w:b/>
          <w:bCs/>
          <w:i/>
          <w:iCs/>
          <w:sz w:val="20"/>
          <w:szCs w:val="20"/>
        </w:rPr>
        <w:t xml:space="preserve">C. Baselines</w:t>
      </w:r>
    </w:p>
    <w:p>
      <w:pPr>
        <w:spacing w:after="90" w:line="232"/>
        <w:ind w:firstLine="200"/>
        <w:jc w:val="both"/>
      </w:pPr>
      <w:r>
        <w:rPr>
          <w:rFonts w:ascii="Times New Roman" w:cs="Times New Roman" w:eastAsia="Times New Roman" w:hAnsi="Times New Roman"/>
          <w:sz w:val="20"/>
          <w:szCs w:val="20"/>
        </w:rPr>
        <w:t xml:space="preserve">EBA-FFD is compared against XGBoost (eXtreme Gradient Boosting) [22] and Logistic Regression trained centrally on pooled data, a centralized CNN, a local-only model trained on one bank's data with no collaboration, vanilla FedAvg under the same DP-SGD configuration, and FedProx under the same configuration. Methods with no privacy guarantee (marked † in Table I) quantify the utility cost of privacy and non-IID collaboration rather than competing directly with EBA-FFD; FedProx at matched ε is the like-for-like federated comparison.</w:t>
      </w:r>
    </w:p>
    <w:p>
      <w:pPr>
        <w:spacing w:after="60" w:before="120"/>
        <w:jc w:val="left"/>
      </w:pPr>
      <w:r>
        <w:rPr>
          <w:rFonts w:ascii="Times New Roman" w:cs="Times New Roman" w:eastAsia="Times New Roman" w:hAnsi="Times New Roman"/>
          <w:b/>
          <w:bCs/>
          <w:i/>
          <w:iCs/>
          <w:sz w:val="20"/>
          <w:szCs w:val="20"/>
        </w:rPr>
        <w:t xml:space="preserve">D. Metrics and Model Selection Protocol</w:t>
      </w:r>
    </w:p>
    <w:p>
      <w:pPr>
        <w:spacing w:after="90" w:line="232"/>
        <w:ind w:firstLine="200"/>
        <w:jc w:val="both"/>
      </w:pPr>
      <w:r>
        <w:rPr>
          <w:rFonts w:ascii="Times New Roman" w:cs="Times New Roman" w:eastAsia="Times New Roman" w:hAnsi="Times New Roman"/>
          <w:sz w:val="20"/>
          <w:szCs w:val="20"/>
        </w:rPr>
        <w:t xml:space="preserve">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[21]. The decision threshold is calibrated on a held-out validation split every round,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spacing w:after="60" w:before="120"/>
        <w:jc w:val="left"/>
      </w:pPr>
      <w:r>
        <w:rPr>
          <w:rFonts w:ascii="Times New Roman" w:cs="Times New Roman" w:eastAsia="Times New Roman" w:hAnsi="Times New Roman"/>
          <w:b/>
          <w:bCs/>
          <w:i/>
          <w:iCs/>
          <w:sz w:val="20"/>
          <w:szCs w:val="20"/>
        </w:rPr>
        <w:t xml:space="preserve">E. Statistical Protocol</w:t>
      </w:r>
    </w:p>
    <w:p>
      <w:pPr>
        <w:spacing w:after="90" w:line="232"/>
        <w:ind w:firstLine="200"/>
        <w:jc w:val="both"/>
      </w:pPr>
      <w:r>
        <w:rPr>
          <w:rFonts w:ascii="Times New Roman" w:cs="Times New Roman" w:eastAsia="Times New Roman" w:hAnsi="Times New Roman"/>
          <w:sz w:val="20"/>
          <w:szCs w:val="20"/>
        </w:rPr>
        <w:t xml:space="preserve">Every configuration runs across three seeds, controlling both data partition and model initialization. Table I reports mean ± standard deviation with a paired Wilcoxon signed-rank test on F1 against EBA-FFD as reference. Three seeds is the minimum for a non-degenerate paired test and should be read as an initial significance signal.</w:t>
      </w:r>
    </w:p>
    <w:p>
      <w:pPr>
        <w:sectPr>
          <w:type w:val="continuous"/>
          <w:pgSz w:w="12240" w:h="15840" w:orient="portrait"/>
          <w:pgMar w:top="1080" w:right="900" w:bottom="1440" w:left="900" w:header="708" w:footer="708" w:gutter="0"/>
          <w:pgNumType/>
          <w:cols w:space="288" w:num="2"/>
          <w:docGrid w:linePitch="360"/>
        </w:sectPr>
      </w:pPr>
    </w:p>
    <w:p>
      <w:pPr>
        <w:spacing w:after="90" w:before="180"/>
        <w:jc w:val="center"/>
      </w:pPr>
      <w:r>
        <w:rPr>
          <w:rFonts w:ascii="Times New Roman" w:cs="Times New Roman" w:eastAsia="Times New Roman" w:hAnsi="Times New Roman"/>
          <w:b/>
          <w:bCs/>
          <w:sz w:val="20"/>
          <w:szCs w:val="20"/>
        </w:rPr>
        <w:t xml:space="preserve">V. RESULTS</w:t>
      </w:r>
    </w:p>
    <w:p>
      <w:pPr>
        <w:spacing w:after="90" w:line="232"/>
        <w:ind w:firstLine="200"/>
        <w:jc w:val="both"/>
      </w:pPr>
      <w:r>
        <w:rPr>
          <w:rFonts w:ascii="Times New Roman" w:cs="Times New Roman" w:eastAsia="Times New Roman" w:hAnsi="Times New Roman"/>
          <w:sz w:val="20"/>
          <w:szCs w:val="20"/>
        </w:rPr>
        <w:t xml:space="preserve">All results are from the full-scale configuration in Section IV.B (100% data, 3 seeds, 10 rounds) unless noted.</w:t>
      </w:r>
    </w:p>
    <w:p>
      <w:pPr>
        <w:spacing w:after="60" w:before="120"/>
        <w:jc w:val="left"/>
      </w:pPr>
      <w:r>
        <w:rPr>
          <w:rFonts w:ascii="Times New Roman" w:cs="Times New Roman" w:eastAsia="Times New Roman" w:hAnsi="Times New Roman"/>
          <w:b/>
          <w:bCs/>
          <w:i/>
          <w:iCs/>
          <w:sz w:val="20"/>
          <w:szCs w:val="20"/>
        </w:rPr>
        <w:t xml:space="preserve">A. Comparison Against Baselines (Table I)</w:t>
      </w:r>
    </w:p>
    <w:p>
      <w:pPr>
        <w:spacing w:after="90" w:line="232"/>
        <w:ind w:firstLine="200"/>
        <w:jc w:val="both"/>
      </w:pPr>
      <w:r>
        <w:rPr>
          <w:rFonts w:ascii="Times New Roman" w:cs="Times New Roman" w:eastAsia="Times New Roman" w:hAnsi="Times New Roman"/>
          <w:sz w:val="20"/>
          <w:szCs w:val="20"/>
        </w:rPr>
        <w:t xml:space="preserve">EBA-FFD attains F1 = 0.79 under formal (ε = 3.0, δ = 1×10⁻⁵)-DP. At full scale this is significantly below centralized XGBoost (F1 = 0.83, PR-AUC = 0.86; p = 0.012) — a real, quantifiable cost of privacy plus non-IID federation. This differs from an earlier pilot-scale evaluation in which the same comparison was not statistically distinguishable, since the full-scale run has more statistical power. EBA-FFD significantly outperforms a local-only bank (F1 = 0.77, p = 0.034), confirming federated collaboration earns its keep despite privacy's real cost, and is statistically indistinguishable from FedProx at matched ε (p = 0.423).</w:t>
      </w:r>
    </w:p>
    <w:p>
      <w:pPr>
        <w:spacing w:before="120"/>
        <w:jc w:val="center"/>
      </w:pPr>
      <w:r>
        <w:drawing>
          <wp:inline distT="0" distB="0" distL="0" distR="0">
            <wp:extent cx="4953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505075"/>
                    </a:xfrm>
                    <a:prstGeom prst="rect">
                      <a:avLst/>
                    </a:prstGeom>
                  </pic:spPr>
                </pic:pic>
              </a:graphicData>
            </a:graphic>
          </wp:inline>
        </w:drawing>
      </w:r>
    </w:p>
    <w:p>
      <w:pPr>
        <w:spacing w:after="140" w:before="60"/>
        <w:jc w:val="center"/>
      </w:pPr>
      <w:r>
        <w:rPr>
          <w:rFonts w:ascii="Times New Roman" w:cs="Times New Roman" w:eastAsia="Times New Roman" w:hAnsi="Times New Roman"/>
          <w:sz w:val="17"/>
          <w:szCs w:val="17"/>
        </w:rPr>
        <w:t xml:space="preserve">Fig. 2. Precision, Recall, F1, ROC-AUC, and PR-AUC across methods (full scale, 3 seeds).</w:t>
      </w:r>
    </w:p>
    <w:p>
      <w:pPr>
        <w:spacing w:after="90"/>
        <w:jc w:val="center"/>
      </w:pPr>
      <w:r>
        <w:rPr>
          <w:rFonts w:ascii="Times New Roman" w:cs="Times New Roman" w:eastAsia="Times New Roman" w:hAnsi="Times New Roman"/>
          <w:b/>
          <w:bCs/>
          <w:sz w:val="17"/>
          <w:szCs w:val="17"/>
        </w:rPr>
        <w:t xml:space="preserve">TABLE I: COMPARISON AGAINST BASELINES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900"/>
        <w:gridCol w:w="1257"/>
        <w:gridCol w:w="1257"/>
        <w:gridCol w:w="1257"/>
        <w:gridCol w:w="1257"/>
        <w:gridCol w:w="1257"/>
        <w:gridCol w:w="1255"/>
      </w:tblGrid>
      <w:tr>
        <w:trPr>
          <w:tblHeader/>
        </w:trPr>
        <w:tc>
          <w:tcPr>
            <w:tcW w:type="dxa" w:w="29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Method</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255"/>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 (F1)</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EBA-FFD (ours,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XGBoost (centralized)†</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0.91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0.86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0.012</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Local-only (no collab.)†</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0.034</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Logistic Regression†</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0.08</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0.136</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CNN (centralized)†</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0.09</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0.04</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0.930</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FedAvg +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FedProx +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0.80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0.423</w:t>
            </w:r>
          </w:p>
        </w:tc>
      </w:tr>
    </w:tbl>
    <w:p>
      <w:pPr>
        <w:spacing w:after="200" w:before="60"/>
      </w:pPr>
      <w:r>
        <w:rPr>
          <w:rFonts w:ascii="Times New Roman" w:cs="Times New Roman" w:eastAsia="Times New Roman" w:hAnsi="Times New Roman"/>
          <w:i/>
          <w:iCs/>
          <w:sz w:val="15"/>
          <w:szCs w:val="15"/>
        </w:rPr>
        <w:t xml:space="preserve">† No privacy guarantee (raw data pooled or privacy ignored) — utility upper bound, not a competing system. FedProx at matched ε is the like-for-like federated comparison.</w:t>
      </w:r>
    </w:p>
    <w:p>
      <w:pPr>
        <w:spacing w:after="90" w:line="232"/>
        <w:ind w:firstLine="200"/>
        <w:jc w:val="both"/>
      </w:pPr>
      <w:r>
        <w:rPr>
          <w:rFonts w:ascii="Times New Roman" w:cs="Times New Roman" w:eastAsia="Times New Roman" w:hAnsi="Times New Roman"/>
          <w:sz w:val="20"/>
          <w:szCs w:val="20"/>
        </w:rPr>
        <w:t xml:space="preserve">Table II reports per-bank privacy calibration. Bank sizes are markedly skewed (Bank 3 holds 218,467 of roughly 264,000 rows, about 83% of the federation's data), and smaller banks (Bank 0, 2,212 samples) require a larger noise multiplier for the same target ε.</w:t>
      </w:r>
    </w:p>
    <w:p>
      <w:pPr>
        <w:spacing w:after="90"/>
        <w:jc w:val="center"/>
      </w:pPr>
      <w:r>
        <w:rPr>
          <w:rFonts w:ascii="Times New Roman" w:cs="Times New Roman" w:eastAsia="Times New Roman" w:hAnsi="Times New Roman"/>
          <w:b/>
          <w:bCs/>
          <w:sz w:val="17"/>
          <w:szCs w:val="17"/>
        </w:rPr>
        <w:t xml:space="preserve">TABLE II: PER-BANK DIFFERENTIAL PRIVACY CALIBRATION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400"/>
        <w:gridCol w:w="1400"/>
        <w:gridCol w:w="1500"/>
        <w:gridCol w:w="1500"/>
        <w:gridCol w:w="2240"/>
      </w:tblGrid>
      <w:tr>
        <w:trPr>
          <w:tblHeader/>
        </w:trPr>
        <w:tc>
          <w:tcPr>
            <w:tcW w:type="dxa" w:w="10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Bank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n_k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q_k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Steps</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σ_k</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δ_k</w:t>
            </w:r>
          </w:p>
        </w:tc>
        <w:tc>
          <w:tcPr>
            <w:tcW w:type="dxa" w:w="224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ε spent</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0</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2,212</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0.11573</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270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3.0273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2.859</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1</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23,789</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0.01076</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2790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1.1133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3.014</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2</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13,956</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0.01834</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1650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1.3477</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2.969</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3</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218,467</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0.00117</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25620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0.6934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4.6e-06</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2.998</w:t>
            </w:r>
          </w:p>
        </w:tc>
      </w:tr>
    </w:tbl>
    <w:p>
      <w:pPr>
        <w:spacing w:after="60" w:before="120"/>
        <w:jc w:val="left"/>
      </w:pPr>
      <w:r>
        <w:rPr>
          <w:rFonts w:ascii="Times New Roman" w:cs="Times New Roman" w:eastAsia="Times New Roman" w:hAnsi="Times New Roman"/>
          <w:b/>
          <w:bCs/>
          <w:i/>
          <w:iCs/>
          <w:sz w:val="20"/>
          <w:szCs w:val="20"/>
        </w:rPr>
        <w:t xml:space="preserve">B. Component Ablation (Table III)</w:t>
      </w:r>
    </w:p>
    <w:p>
      <w:pPr>
        <w:spacing w:after="90" w:line="232"/>
        <w:ind w:firstLine="200"/>
        <w:jc w:val="both"/>
      </w:pPr>
      <w:r>
        <w:rPr>
          <w:rFonts w:ascii="Times New Roman" w:cs="Times New Roman" w:eastAsia="Times New Roman" w:hAnsi="Times New Roman"/>
          <w:sz w:val="20"/>
          <w:szCs w:val="20"/>
        </w:rPr>
        <w:t xml:space="preserve">Removing KMeans-SMOTE/ENN balancing drops F1 from 0.79 to 0.74 (ΔF1 −0.06), far smaller than the −0.72 seen at pilot scale, since full data volume leaves enough real fraud examples per client. Architecture ordering from Section III.C holds, with a narrower margin than at pilot scale. The largest positive finding is the loss-function result: adding Focal Loss back costs 0.02 F1, the biggest lever in the table. The − Differential privacy row shows a small negative effect (ΔF1 −0.01), attributed to high variance in that arm (three seeds) rather than a stable effect. Adaptive aggregation shows ΔF1 = 0.00 here since, absent drift, it is mathematically identical to vanilla FedAvg.</w:t>
      </w:r>
    </w:p>
    <w:p>
      <w:pPr>
        <w:spacing w:after="90"/>
        <w:jc w:val="center"/>
      </w:pPr>
      <w:r>
        <w:rPr>
          <w:rFonts w:ascii="Times New Roman" w:cs="Times New Roman" w:eastAsia="Times New Roman" w:hAnsi="Times New Roman"/>
          <w:b/>
          <w:bCs/>
          <w:sz w:val="17"/>
          <w:szCs w:val="17"/>
        </w:rPr>
        <w:t xml:space="preserve">TABLE III: COMPONENT ABLATION (STATIONARY)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00"/>
        <w:gridCol w:w="1190"/>
        <w:gridCol w:w="1190"/>
        <w:gridCol w:w="1190"/>
        <w:gridCol w:w="1190"/>
        <w:gridCol w:w="1190"/>
        <w:gridCol w:w="1190"/>
      </w:tblGrid>
      <w:tr>
        <w:trPr>
          <w:tblHeader/>
        </w:trPr>
        <w:tc>
          <w:tcPr>
            <w:tcW w:type="dxa" w:w="33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Variant</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ΔF1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Full system (MLP, no CNN/BiLSTM, BCE)</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CNN block (discarded)</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CNN and BiLSTM blocks (discarded)</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0.69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−0.06</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BiLSTM only (no CNN)</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0.82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0.95 ± 0.00</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0.70 ± 0.07</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KMeans-SMOTE/ENN balancing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0.66 ± 0.09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0.74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0.63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−0.06</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Focal Loss (discarded loss)</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0.82 ± 0.00</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0.74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+0.02*</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Differential privacy†</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0.86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0.80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Adaptive aggregation (vanilla FedAvg)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+0.00</w:t>
            </w:r>
          </w:p>
        </w:tc>
      </w:tr>
    </w:tbl>
    <w:p>
      <w:pPr>
        <w:spacing w:after="200" w:before="60"/>
      </w:pPr>
      <w:r>
        <w:rPr>
          <w:rFonts w:ascii="Times New Roman" w:cs="Times New Roman" w:eastAsia="Times New Roman" w:hAnsi="Times New Roman"/>
          <w:i/>
          <w:iCs/>
          <w:sz w:val="15"/>
          <w:szCs w:val="15"/>
        </w:rPr>
        <w:t xml:space="preserve">* Labeled "+ Focal Loss" because BCE is now the default (Section III.D); a positive ΔF1 here means BCE (reference row) outperforms adding Focal Loss back.</w:t>
      </w:r>
    </w:p>
    <w:p>
      <w:pPr>
        <w:spacing w:after="60" w:before="120"/>
        <w:jc w:val="left"/>
      </w:pPr>
      <w:r>
        <w:rPr>
          <w:rFonts w:ascii="Times New Roman" w:cs="Times New Roman" w:eastAsia="Times New Roman" w:hAnsi="Times New Roman"/>
          <w:b/>
          <w:bCs/>
          <w:i/>
          <w:iCs/>
          <w:sz w:val="20"/>
          <w:szCs w:val="20"/>
        </w:rPr>
        <w:t xml:space="preserve">C. Adaptive Aggregation Under Injected Drift (Table IV)</w:t>
      </w:r>
    </w:p>
    <w:p>
      <w:pPr>
        <w:spacing w:after="90" w:line="232"/>
        <w:ind w:firstLine="200"/>
        <w:jc w:val="both"/>
      </w:pPr>
      <w:r>
        <w:rPr>
          <w:rFonts w:ascii="Times New Roman" w:cs="Times New Roman" w:eastAsia="Times New Roman" w:hAnsi="Times New Roman"/>
          <w:sz w:val="20"/>
          <w:szCs w:val="20"/>
        </w:rPr>
        <w:t xml:space="preserve">Under drift injection, vanilla FedAvg collapses (F1 = 0.23) while adaptive aggregation holds substantially better (F1 = 0.66; ΔF1 = +0.43). This confirms the protective mechanism at full scale, though it is a smaller effect than at pilot scale, where adaptive aggregation held almost steady (F1 = 0.76) against vanilla's collapse to 0.10 — at full scale, adaptive aggregation substantially mitigates but does not eliminate drift damage.</w:t>
      </w:r>
    </w:p>
    <w:p>
      <w:pPr>
        <w:spacing w:after="90" w:line="232"/>
        <w:ind w:firstLine="200"/>
        <w:jc w:val="both"/>
      </w:pPr>
      <w:r>
        <w:rPr>
          <w:rFonts w:ascii="Times New Roman" w:cs="Times New Roman" w:eastAsia="Times New Roman" w:hAnsi="Times New Roman"/>
          <w:sz w:val="20"/>
          <w:szCs w:val="20"/>
        </w:rPr>
        <w:t xml:space="preserve">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w:t>
      </w:r>
    </w:p>
    <w:p>
      <w:pPr>
        <w:spacing w:after="90"/>
        <w:jc w:val="center"/>
      </w:pPr>
      <w:r>
        <w:rPr>
          <w:rFonts w:ascii="Times New Roman" w:cs="Times New Roman" w:eastAsia="Times New Roman" w:hAnsi="Times New Roman"/>
          <w:b/>
          <w:bCs/>
          <w:sz w:val="17"/>
          <w:szCs w:val="17"/>
        </w:rPr>
        <w:t xml:space="preserve">TABLE IV: ADAPTIVE AGGREGATION UNDER INJECTED DRIFT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00"/>
        <w:gridCol w:w="1190"/>
        <w:gridCol w:w="1190"/>
        <w:gridCol w:w="1190"/>
        <w:gridCol w:w="1190"/>
        <w:gridCol w:w="1190"/>
        <w:gridCol w:w="1190"/>
      </w:tblGrid>
      <w:tr>
        <w:trPr>
          <w:tblHeader/>
        </w:trPr>
        <w:tc>
          <w:tcPr>
            <w:tcW w:type="dxa" w:w="33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Variant</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ΔF1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Full system (adaptive aggregation)</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0.68 ± 0.19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0.64 ± 0.19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0.66 ± 0.18</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0.87 ± 0.14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0.58 ± 0.25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Adaptive aggregation (vanilla FedAvg)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0.22 ± 0.37</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0.24 ± 0.42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0.23 ± 0.39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0.38 ± 0.53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0.22 ± 0.39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−0.43</w:t>
            </w:r>
          </w:p>
        </w:tc>
      </w:tr>
    </w:tbl>
    <w:p>
      <w:pPr>
        <w:spacing w:after="60" w:before="120"/>
        <w:jc w:val="left"/>
      </w:pPr>
      <w:r>
        <w:rPr>
          <w:rFonts w:ascii="Times New Roman" w:cs="Times New Roman" w:eastAsia="Times New Roman" w:hAnsi="Times New Roman"/>
          <w:b/>
          <w:bCs/>
          <w:i/>
          <w:iCs/>
          <w:sz w:val="20"/>
          <w:szCs w:val="20"/>
        </w:rPr>
        <w:t xml:space="preserve">D. Scalability (Table V)</w:t>
      </w:r>
    </w:p>
    <w:p>
      <w:pPr>
        <w:spacing w:after="90" w:line="232"/>
        <w:ind w:firstLine="200"/>
        <w:jc w:val="both"/>
      </w:pPr>
      <w:r>
        <w:rPr>
          <w:rFonts w:ascii="Times New Roman" w:cs="Times New Roman" w:eastAsia="Times New Roman" w:hAnsi="Times New Roman"/>
          <w:sz w:val="20"/>
          <w:szCs w:val="20"/>
        </w:rPr>
        <w:t xml:space="preserve">F1 is highest at 4 banks (0.79) and roughly flat from 8-32 banks (0.76, 0.78, 0.77). Mean DP noise increases steadily with bank count (σ̄: 1.70 → 3.49), and per-round wall-clock time decreases (19.9s → 13.0s) since each bank's local workload shrinks as data is split more ways.</w:t>
      </w:r>
    </w:p>
    <w:p>
      <w:pPr>
        <w:spacing w:after="90"/>
        <w:jc w:val="center"/>
      </w:pPr>
      <w:r>
        <w:rPr>
          <w:rFonts w:ascii="Times New Roman" w:cs="Times New Roman" w:eastAsia="Times New Roman" w:hAnsi="Times New Roman"/>
          <w:b/>
          <w:bCs/>
          <w:sz w:val="17"/>
          <w:szCs w:val="17"/>
        </w:rPr>
        <w:t xml:space="preserve">TABLE V: SCALABILITY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1500"/>
        <w:gridCol w:w="1500"/>
        <w:gridCol w:w="1500"/>
        <w:gridCol w:w="1000"/>
        <w:gridCol w:w="1040"/>
      </w:tblGrid>
      <w:tr>
        <w:trPr>
          <w:tblHeader/>
        </w:trPr>
        <w:tc>
          <w:tcPr>
            <w:tcW w:type="dxa" w:w="9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Banks</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0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σ̄</w:t>
            </w:r>
          </w:p>
        </w:tc>
        <w:tc>
          <w:tcPr>
            <w:tcW w:type="dxa" w:w="104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s/round</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1.695</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19.9</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8</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0.70 ± 0.07</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0.02</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2.459</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15.9</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16</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0.72 ± 0.05</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3.265</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14.1</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32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0.08</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0.03</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3.487</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13.0</w:t>
            </w:r>
          </w:p>
        </w:tc>
      </w:tr>
    </w:tbl>
    <w:p>
      <w:pPr>
        <w:sectPr>
          <w:type w:val="continuous"/>
          <w:pgSz w:w="12240" w:h="15840" w:orient="portrait"/>
          <w:pgMar w:top="1080" w:right="900" w:bottom="1440" w:left="900" w:header="708" w:footer="708" w:gutter="0"/>
          <w:pgNumType/>
          <w:cols w:num="1"/>
          <w:docGrid w:linePitch="360"/>
        </w:sectPr>
      </w:pPr>
    </w:p>
    <w:p>
      <w:pPr>
        <w:spacing w:after="90" w:before="180"/>
        <w:jc w:val="center"/>
      </w:pPr>
      <w:r>
        <w:rPr>
          <w:rFonts w:ascii="Times New Roman" w:cs="Times New Roman" w:eastAsia="Times New Roman" w:hAnsi="Times New Roman"/>
          <w:b/>
          <w:bCs/>
          <w:sz w:val="20"/>
          <w:szCs w:val="20"/>
        </w:rPr>
        <w:t xml:space="preserve">VI. DISCUSSION AND LIMITATIONS</w:t>
      </w:r>
    </w:p>
    <w:p>
      <w:pPr>
        <w:spacing w:after="90" w:line="232"/>
        <w:ind w:firstLine="200"/>
        <w:jc w:val="both"/>
      </w:pPr>
      <w:r>
        <w:rPr>
          <w:rFonts w:ascii="Times New Roman" w:cs="Times New Roman" w:eastAsia="Times New Roman" w:hAnsi="Times New Roman"/>
          <w:sz w:val="20"/>
          <w:szCs w:val="20"/>
        </w:rPr>
        <w:t xml:space="preserve">The most consequential finding is a correction: the pilot-scale claim that EBA-FFD was statistically indistinguishable from XGBoost does not hold at full scale, since the pilot evaluation lacked statistical power to detect a gap likely present at both scales — a caution for any small-scale FL evaluation. The drift-protection result changed in character, not direction: adaptive aggregation still clearly outperforms vanilla FedAvg, but is no longer close to fully immune, with far more seed-to-seed variance than any stationary result, traced to bank-size skew becoming more extreme at full scale.</w:t>
      </w:r>
    </w:p>
    <w:p>
      <w:pPr>
        <w:spacing w:after="90" w:line="232"/>
        <w:ind w:firstLine="200"/>
        <w:jc w:val="both"/>
      </w:pPr>
      <w:r>
        <w:rPr>
          <w:rFonts w:ascii="Times New Roman" w:cs="Times New Roman" w:eastAsia="Times New Roman" w:hAnsi="Times New Roman"/>
          <w:sz w:val="20"/>
          <w:szCs w:val="20"/>
        </w:rPr>
        <w:t xml:space="preserve">Two limitations remain. Three seeds is the minimum for a non-degenerate paired test, and a wider seed count would sharpen every number here, particularly the high-variance drift result. All results remain on one public dataset (Section IV.A); the systems-level findings are not dataset-specific claims, but have not been checked against a second dataset.</w:t>
      </w:r>
    </w:p>
    <w:p>
      <w:pPr>
        <w:spacing w:after="90" w:before="180"/>
        <w:jc w:val="center"/>
      </w:pPr>
      <w:r>
        <w:rPr>
          <w:rFonts w:ascii="Times New Roman" w:cs="Times New Roman" w:eastAsia="Times New Roman" w:hAnsi="Times New Roman"/>
          <w:b/>
          <w:bCs/>
          <w:sz w:val="20"/>
          <w:szCs w:val="20"/>
        </w:rPr>
        <w:t xml:space="preserve">VII. CONCLUSION AND FUTURE WORK</w:t>
      </w:r>
    </w:p>
    <w:p>
      <w:pPr>
        <w:spacing w:after="90" w:line="232"/>
        <w:ind w:firstLine="200"/>
        <w:jc w:val="both"/>
      </w:pPr>
      <w:r>
        <w:rPr>
          <w:rFonts w:ascii="Times New Roman" w:cs="Times New Roman" w:eastAsia="Times New Roman" w:hAnsi="Times New Roman"/>
          <w:sz w:val="20"/>
          <w:szCs w:val="20"/>
        </w:rPr>
        <w:t xml:space="preserve">We presented EBA-FFD, combining a right-sized MLP classifier with BCE loss, local class balancing, formally accounted DP, and PH-driven adaptive aggregation that damps drifting clients without excluding them. At full scale, EBA-FFD reaches F1 = 0.79 under formal DP — significantly below a non-private upper bound but significantly above acting alone — and under injected drift, adaptive aggregation substantially mitigates, though does not eliminate, the damage a drifting client causes.</w:t>
      </w:r>
    </w:p>
    <w:p>
      <w:pPr>
        <w:spacing w:after="90" w:line="232"/>
        <w:ind w:firstLine="200"/>
        <w:jc w:val="both"/>
      </w:pPr>
      <w:r>
        <w:rPr>
          <w:rFonts w:ascii="Times New Roman" w:cs="Times New Roman" w:eastAsia="Times New Roman" w:hAnsi="Times New Roman"/>
          <w:sz w:val="20"/>
          <w:szCs w:val="20"/>
        </w:rPr>
        <w:t xml:space="preserve">Two design decisions changed directly from moving pilot to full scale: architecture (MLP confirmed, narrower margin) and loss function (Focal Loss dropped for BCE, based on full-scale evidence absent at pilot scale). We report this as a methodological finding: pilot-scale results should be treated as provisional until confirmed at full scale. Future work includes a second independent fraud dataset, additional seeds for the high-variance drift condition, and an adversarial drift-injection threat model.</w:t>
      </w:r>
    </w:p>
    <w:p>
      <w:pPr>
        <w:spacing w:after="80" w:before="200"/>
        <w:jc w:val="left"/>
      </w:pPr>
      <w:r>
        <w:rPr>
          <w:rFonts w:ascii="Times New Roman" w:cs="Times New Roman" w:eastAsia="Times New Roman" w:hAnsi="Times New Roman"/>
          <w:b/>
          <w:bCs/>
          <w:i/>
          <w:iCs/>
          <w:sz w:val="20"/>
          <w:szCs w:val="20"/>
        </w:rPr>
        <w:t xml:space="preserve">Acknowledgment</w:t>
      </w:r>
    </w:p>
    <w:p>
      <w:pPr>
        <w:spacing w:after="200"/>
        <w:jc w:val="both"/>
      </w:pPr>
      <w:r>
        <w:rPr>
          <w:rFonts w:ascii="Times New Roman" w:cs="Times New Roman" w:eastAsia="Times New Roman" w:hAnsi="Times New Roman"/>
          <w:sz w:val="20"/>
          <w:szCs w:val="20"/>
        </w:rPr>
        <w:t xml:space="preserve">The authors thank the institution's GPU computing facility for providing access to the NVIDIA H100 cluster (via Altair Access) used for the full-scale evaluation reported in this paper.</w:t>
      </w:r>
    </w:p>
    <w:p>
      <w:pPr>
        <w:spacing w:after="100" w:before="100"/>
        <w:jc w:val="left"/>
      </w:pPr>
      <w:r>
        <w:rPr>
          <w:rFonts w:ascii="Times New Roman" w:cs="Times New Roman" w:eastAsia="Times New Roman" w:hAnsi="Times New Roman"/>
          <w:b/>
          <w:bCs/>
          <w:i/>
          <w:iCs/>
          <w:sz w:val="20"/>
          <w:szCs w:val="20"/>
        </w:rPr>
        <w:t xml:space="preserve">References</w:t>
      </w:r>
    </w:p>
    <w:p>
      <w:pPr>
        <w:spacing w:after="70" w:line="224"/>
        <w:ind w:left="260" w:hanging="260"/>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McMahan, B., Moore, E., Ramage, D., Hampson, S., &amp; Arcas, B. A. y. (2017). Communication-efficient learning of deep networks from decentralized data. In Proceedings of the 20th International Conference on Artificial Intelligence and Statistics (AISTATS) (Vol. 54, pp. 1273–1282). PMLR.</w:t>
      </w:r>
    </w:p>
    <w:p>
      <w:pPr>
        <w:spacing w:after="70" w:line="224"/>
        <w:ind w:left="260" w:hanging="260"/>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European Parliament, &amp; Council of the European Union. (2016). Regulation (EU) 2016/679 (General Data Protection Regulation). Official Journal of the European Union, L119, 1–88.</w:t>
      </w:r>
    </w:p>
    <w:p>
      <w:pPr>
        <w:spacing w:after="70" w:line="224"/>
        <w:ind w:left="260" w:hanging="260"/>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Shokri, R., Stronati, M., Song, C., &amp; Shmatikov, V. (2017). Membership inference attacks against machine learning models. In 2017 IEEE Symposium on Security and Privacy (SP) (pp. 3–18). IEEE. https://doi.org/10.1109/SP.2017.41</w:t>
      </w:r>
    </w:p>
    <w:p>
      <w:pPr>
        <w:spacing w:after="70" w:line="224"/>
        <w:ind w:left="260" w:hanging="260"/>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Li, T., Sahu, A. K., Zaheer, M., Sanjabi, M., Talwalkar, A., &amp; Smith, V. (2020). Federated optimization in heterogeneous networks. In Proceedings of Machine Learning and Systems (Vol. 2, pp. 429–450).</w:t>
      </w:r>
    </w:p>
    <w:p>
      <w:pPr>
        <w:spacing w:after="70" w:line="224"/>
        <w:ind w:left="260" w:hanging="260"/>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Bhattacharyya, S., Jha, S., Tharakunnel, K., &amp; Westland, J. C. (2011). Data mining for credit card fraud: A comparative study. Decision Support Systems, 50(3), 602–613. https://doi.org/10.1016/j.dss.2010.08.008</w:t>
      </w:r>
    </w:p>
    <w:p>
      <w:pPr>
        <w:spacing w:after="70" w:line="224"/>
        <w:ind w:left="260" w:hanging="260"/>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Yang, W., Zhang, Y., Ye, K., Li, L., &amp; Xu, C.-Z. (2019). FFD: A federated learning based method for credit card fraud detection. In Proceedings of the IEEE International Congress on Big Data (BigData). IEEE.</w:t>
      </w:r>
    </w:p>
    <w:p>
      <w:pPr>
        <w:spacing w:after="70" w:line="224"/>
        <w:ind w:left="260" w:hanging="260"/>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Aljunaid, S. K., Almheiri, S. J., Dawood, H., &amp; Khan, M. A. (2025). Secure and transparent banking: Explainable AI-driven federated learning model for financial fraud detection. Journal of Risk and Financial Management, 18(4), Article 179. https://doi.org/10.3390/jrfm18040179</w:t>
      </w:r>
    </w:p>
    <w:p>
      <w:pPr>
        <w:spacing w:after="70" w:line="224"/>
        <w:ind w:left="260" w:hanging="260"/>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Abadi, M., Chu, A., Goodfellow, I., McMahan, H. B., Mironov, I., Talwar, K., &amp; Zhang, L. (2016). Deep learning with differential privacy. In Proceedings of the ACM SIGSAC Conference on Computer and Communications Security (CCS) (pp. 308–318). ACM.</w:t>
      </w:r>
    </w:p>
    <w:p>
      <w:pPr>
        <w:spacing w:after="70" w:line="224"/>
        <w:ind w:left="260" w:hanging="260"/>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Mironov, I. (2017). Rényi differential privacy. In Proceedings of the IEEE Computer Security Foundations Symposium (CSF) (pp. 263–275). IEEE.</w:t>
      </w:r>
    </w:p>
    <w:p>
      <w:pPr>
        <w:spacing w:after="70" w:line="224"/>
        <w:ind w:left="260" w:hanging="260"/>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Yousefpour, A., Shilov, I., Sablayrolles, A., Testuggine, D., Prasad, K., Malek, M., Nguyen, J., Ghosh, S., Bharadwaj, A., Zhao, J., Cormode, G., &amp; Mironov, I. (2021). Opacus: User-friendly differential privacy library in PyTorch. arXiv. https://arxiv.org/abs/2109.12298</w:t>
      </w:r>
    </w:p>
    <w:p>
      <w:pPr>
        <w:spacing w:after="70" w:line="224"/>
        <w:ind w:left="260" w:hanging="260"/>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McMahan, H. B., Ramage, D., Talwar, K., &amp; Zhang, L. (2018). Learning differentially private recurrent language models. In Proceedings of the International Conference on Learning Representations (ICLR).</w:t>
      </w:r>
    </w:p>
    <w:p>
      <w:pPr>
        <w:spacing w:after="70" w:line="224"/>
        <w:ind w:left="260" w:hanging="260"/>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Bonawitz, K., Ivanov, V., Kreuter, B., Marcedone, A., McMahan, H. B., Patel, S., Ramage, D., Segal, A., &amp; Seth, K. (2017). Practical secure aggregation for privacy-preserving machine learning. In Proceedings of the ACM SIGSAC Conference on Computer and Communications Security (CCS) (pp. 1175–1191). ACM.</w:t>
      </w:r>
    </w:p>
    <w:p>
      <w:pPr>
        <w:spacing w:after="70" w:line="224"/>
        <w:ind w:left="260" w:hanging="260"/>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Chawla, N. V., Bowyer, K. W., Hall, L. O., &amp; Kegelmeyer, W. P. (2002). SMOTE: Synthetic minority over-sampling technique. Journal of Artificial Intelligence Research, 16(1), 321–357. https://doi.org/10.1613/jair.953</w:t>
      </w:r>
    </w:p>
    <w:p>
      <w:pPr>
        <w:spacing w:after="70" w:line="224"/>
        <w:ind w:left="260" w:hanging="260"/>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Last, F., Douzas, G., &amp; Bacao, F. (2017). Oversampling for imbalanced learning based on k-means and SMOTE. arXiv. https://arxiv.org/abs/1711.00837</w:t>
      </w:r>
    </w:p>
    <w:p>
      <w:pPr>
        <w:spacing w:after="70" w:line="224"/>
        <w:ind w:left="260" w:hanging="260"/>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Wilson, D. L. (1972). Asymptotic properties of nearest neighbor rules using edited data. IEEE Transactions on Systems, Man, and Cybernetics, 2(3), 408–421. https://doi.org/10.1109/TSMC.1972.4309137</w:t>
      </w:r>
    </w:p>
    <w:p>
      <w:pPr>
        <w:spacing w:after="70" w:line="224"/>
        <w:ind w:left="260" w:hanging="260"/>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Lin, T.-Y., Goyal, P., Girshick, R., He, K., &amp; Dollár, P. (2017). Focal loss for dense object detection. In Proceedings of the IEEE International Conference on Computer Vision (ICCV) (pp. 2999–3007). IEEE.</w:t>
      </w:r>
    </w:p>
    <w:p>
      <w:pPr>
        <w:spacing w:after="70" w:line="224"/>
        <w:ind w:left="260" w:hanging="260"/>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Page, E. S. (1954). Continuous inspection schemes. Biometrika, 41(1/2), 100–115. https://doi.org/10.1093/biomet/41.1-2.100</w:t>
      </w:r>
    </w:p>
    <w:p>
      <w:pPr>
        <w:spacing w:after="70" w:line="224"/>
        <w:ind w:left="260" w:hanging="260"/>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Gama, J., Žliobaitė, I., Bifet, A., Pechenizkiy, M., &amp; Bouchachia, A. (2014). A survey on concept drift adaptation. ACM Computing Surveys, 46(4), Article 44, 1–37. https://doi.org/10.1145/2523813</w:t>
      </w:r>
    </w:p>
    <w:p>
      <w:pPr>
        <w:spacing w:after="70" w:line="224"/>
        <w:ind w:left="260" w:hanging="260"/>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Blanchard, P., El Mhamdi, E. M., Guerraoui, R., &amp; Stainer, J. (2017). Machine learning with adversaries: Byzantine tolerant gradient descent. In Advances in Neural Information Processing Systems 30 (NeurIPS) (pp. 119–129).</w:t>
      </w:r>
    </w:p>
    <w:p>
      <w:pPr>
        <w:spacing w:after="70" w:line="224"/>
        <w:ind w:left="260" w:hanging="260"/>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Dal Pozzolo, A., Caelen, O., Johnson, R. A., &amp; Bontempi, G. (2015). Calibrating probability with undersampling for unbalanced classification. In Proceedings of the IEEE Symposium on Computational Intelligence and Data Mining (CIDM). IEEE.</w:t>
      </w:r>
    </w:p>
    <w:p>
      <w:pPr>
        <w:spacing w:after="70" w:line="224"/>
        <w:ind w:left="260" w:hanging="260"/>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Saito, T., &amp; Rehmsmeier, M. (2015). The precision-recall plot is more informative than the ROC plot when evaluating binary classifiers on imbalanced datasets. PLOS ONE, 10(3), e0118432. https://doi.org/10.1371/journal.pone.0118432</w:t>
      </w:r>
    </w:p>
    <w:p>
      <w:pPr>
        <w:spacing w:after="70" w:line="224"/>
        <w:ind w:left="260" w:hanging="260"/>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Chen, T., &amp; Guestrin, C. (2016). XGBoost: A scalable tree boosting system. In Proceedings of the 22nd ACM SIGKDD International Conference on Knowledge Discovery and Data Mining (KDD) (pp. 785–794). ACM.</w:t>
      </w:r>
    </w:p>
    <w:p>
      <w:pPr>
        <w:spacing w:after="70" w:line="224"/>
        <w:ind w:left="260" w:hanging="260"/>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Zhu, H., Xu, J., Liu, S., &amp; Jin, Y. (2021). Federated learning on non-IID data: A survey. Neurocomputing, 465, 371–390. https://doi.org/10.1016/j.neucom.2021.07.098</w:t>
      </w:r>
    </w:p>
    <w:p>
      <w:pPr>
        <w:spacing w:after="70" w:line="224"/>
        <w:ind w:left="260" w:hanging="260"/>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Kairouz, P., McMahan, H. B., et al. (2021). Advances and open problems in federated learning. Foundations and Trends in Machine Learning, 14(1–2), 1–210. https://doi.org/10.1561/2200000083</w:t>
      </w:r>
    </w:p>
    <w:p>
      <w:pPr>
        <w:spacing w:after="70" w:line="224"/>
        <w:ind w:left="260" w:hanging="260"/>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IEEE Standards Association. (2020). IEEE guide for architectural framework and application of federated machine learning (IEEE Std 3652.1-2020).</w:t>
      </w:r>
    </w:p>
    <w:p>
      <w:pPr>
        <w:spacing w:after="70" w:line="224"/>
        <w:ind w:left="260" w:hanging="260"/>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IEEE Standards Association. (2022). IEEE standard for data privacy process (IEEE Std 7002-2022).</w:t>
      </w:r>
    </w:p>
    <w:sectPr>
      <w:type w:val="continuous"/>
      <w:pgSz w:w="12240" w:h="15840" w:orient="portrait"/>
      <w:pgMar w:top="1080" w:right="900" w:bottom="1440" w:left="900" w:header="708" w:footer="708" w:gutter="0"/>
      <w:pgNumType/>
      <w:cols w:space="28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b0db57d292f2728075a2d42cdd5a7e76c3d4f1.png"/><Relationship Id="rId8" Type="http://schemas.openxmlformats.org/officeDocument/2006/relationships/image" Target="media/bf5ee61fed1f0403c2d8b341ad524f500acb7e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2026-09-19T11:35:50.619Z</dcterms:created>
  <dcterms:modified xsi:type="dcterms:W3CDTF">2026-09-19T11:35:50.628Z</dcterms:modified>
</cp:coreProperties>
</file>

<file path=docProps/custom.xml><?xml version="1.0" encoding="utf-8"?>
<Properties xmlns="http://schemas.openxmlformats.org/officeDocument/2006/custom-properties" xmlns:vt="http://schemas.openxmlformats.org/officeDocument/2006/docPropsVTypes"/>
</file>