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F7FAFC"/>
            <w:tcBorders>
              <w:top w:val="none"/>
              <w:left w:val="single" w:sz="24" w:space="0" w:color="1B365D"/>
              <w:bottom w:val="none"/>
              <w:right w:val="none"/>
            </w:tcBorders>
          </w:tcPr>
          <w:p>
            <w:pPr>
              <w:spacing w:before="80" w:after="40"/>
            </w:pPr>
            <w:r>
              <w:rPr>
                <w:rFonts w:ascii="Arial" w:hAnsi="Arial"/>
                <w:b/>
                <w:i w:val="0"/>
                <w:color w:val="1B365D"/>
                <w:sz w:val="21"/>
              </w:rPr>
              <w:t>Project Research Theme &amp; Title Alignment</w:t>
              <w:br/>
            </w:r>
            <w:r>
              <w:rPr>
                <w:rFonts w:ascii="Arial" w:hAnsi="Arial"/>
                <w:b w:val="0"/>
                <w:i w:val="0"/>
                <w:color w:val="2D3748"/>
                <w:sz w:val="20"/>
              </w:rPr>
              <w:t>• Recommended Theme: Machine Learning-Based Multi-Class Network Intrusion Detection and Real-Time Threat Classification Systems.</w:t>
              <w:br/>
              <w:t>• Final Research-Paper Title: Evaluation and Real-Time API Deployment of Multi-Class Machine Learning Models for Network Intrusion Detection.</w:t>
              <w:br/>
              <w:t>• Theme Rationale: Bridges modern supervised ensemble models (Random Forest and Gradient Boosting) with actual backend deployment (REST API), establishing a practical software engineering link between lab evaluation metrics and production threat classification.</w:t>
            </w:r>
          </w:p>
        </w:tc>
      </w:tr>
    </w:tbl>
    <w:p>
      <w:pPr>
        <w:spacing w:before="0" w:after="120"/>
      </w:pPr>
    </w:p>
    <w:p>
      <w:pPr>
        <w:spacing w:before="0" w:after="160"/>
        <w:jc w:val="center"/>
      </w:pPr>
      <w:r>
        <w:rPr>
          <w:rFonts w:ascii="Arial" w:hAnsi="Arial"/>
          <w:b/>
          <w:i w:val="0"/>
          <w:color w:val="1B365D"/>
          <w:sz w:val="36"/>
        </w:rPr>
        <w:t>Evaluation and Real-Time API Deployment of Multi-Class Machine Learning Models for Network Intrusion Detection</w:t>
      </w:r>
    </w:p>
    <w:p>
      <w:pPr>
        <w:spacing w:before="0" w:after="360"/>
        <w:jc w:val="center"/>
      </w:pPr>
      <w:r>
        <w:rPr>
          <w:rFonts w:ascii="Arial" w:hAnsi="Arial"/>
          <w:b w:val="0"/>
          <w:i/>
          <w:color w:val="4A5568"/>
          <w:sz w:val="22"/>
        </w:rPr>
        <w:t>Author: cyberAbubakr | Department of Software Engineering | Research Project Submission</w:t>
      </w:r>
    </w:p>
    <w:p>
      <w:pPr>
        <w:keepNext/>
        <w:spacing w:before="320" w:after="120"/>
      </w:pPr>
      <w:r>
        <w:rPr>
          <w:rFonts w:ascii="Arial" w:hAnsi="Arial"/>
          <w:b/>
          <w:i w:val="0"/>
          <w:color w:val="1B365D"/>
          <w:sz w:val="26"/>
        </w:rPr>
        <w:t>Abstract</w:t>
      </w:r>
    </w:p>
    <w:p>
      <w:pPr>
        <w:spacing w:before="0" w:after="120" w:line="276" w:lineRule="auto"/>
      </w:pPr>
      <w:r>
        <w:rPr>
          <w:rFonts w:ascii="Arial" w:hAnsi="Arial"/>
          <w:b w:val="0"/>
          <w:i w:val="0"/>
          <w:color w:val="2D3748"/>
          <w:sz w:val="21"/>
        </w:rPr>
        <w:t>Modern network infrastructures face continuous threats from sophisticated cyber attacks, rendering conventional rule-based Network Intrusion Detection Systems (NIDS) inadequate against novel and multi-vector threats. Machine Learning (ML) offers a proactive paradigm by learning traffic behavioral patterns to identify malicious activity. This paper presents the development, evaluation, and deployment of an ML-driven NIDS designed for multi-class network attack identification. Utilizing structured network traffic datasets (such as NSL-KDD/KDD-Cup benchmarking standards), the pipeline performs data cleaning, categorical encoding, feature scaling, and class balancing prior to training. Two ensemble learning models—Random Forest (RF) and Gradient Boosting (GB)—were trained and evaluated. Both models demonstrated superior classification metrics, achieving up to 100% accuracy on evaluated validation/synthetic test sets. Furthermore, the trained model was integrated into an operational backend framework via a RESTful API to enable real-time inference. This study details the system architecture, model performance metrics, practical limitations—including the risks of overfitting and synthetic dataset constraints—and potential extensions for live enterprise deployment.</w:t>
      </w:r>
    </w:p>
    <w:p>
      <w:pPr>
        <w:spacing w:before="40" w:after="240"/>
      </w:pPr>
      <w:r>
        <w:rPr>
          <w:rFonts w:ascii="Arial" w:hAnsi="Arial"/>
          <w:b/>
          <w:i w:val="0"/>
          <w:color w:val="1B365D"/>
          <w:sz w:val="20"/>
        </w:rPr>
        <w:t xml:space="preserve">Keywords: </w:t>
      </w:r>
      <w:r>
        <w:rPr>
          <w:rFonts w:ascii="Arial" w:hAnsi="Arial"/>
          <w:b w:val="0"/>
          <w:i/>
          <w:color w:val="2D3748"/>
          <w:sz w:val="20"/>
        </w:rPr>
        <w:t>Network Intrusion Detection System (NIDS), Machine Learning, Random Forest, Gradient Boosting, Multi-Class Classification, NSL-KDD, REST API Backend.</w:t>
      </w:r>
    </w:p>
    <w:p>
      <w:pPr>
        <w:keepNext/>
        <w:spacing w:before="320" w:after="120"/>
      </w:pPr>
      <w:r>
        <w:rPr>
          <w:rFonts w:ascii="Arial" w:hAnsi="Arial"/>
          <w:b/>
          <w:i w:val="0"/>
          <w:color w:val="1B365D"/>
          <w:sz w:val="26"/>
        </w:rPr>
        <w:t>1. Introduction</w:t>
      </w:r>
    </w:p>
    <w:p>
      <w:pPr>
        <w:spacing w:before="0" w:after="120" w:line="276" w:lineRule="auto"/>
      </w:pPr>
      <w:r>
        <w:rPr>
          <w:rFonts w:ascii="Arial" w:hAnsi="Arial"/>
          <w:b w:val="0"/>
          <w:i w:val="0"/>
          <w:color w:val="2D3748"/>
          <w:sz w:val="21"/>
        </w:rPr>
        <w:t>With the rapid acceleration of digital transformation and cloud infrastructure, network environments have become increasingly complex and exposed to malicious cyber vectors. Traditional intrusion detection approaches, such as signature-based methods, rely on predefined rule databases. While effective against known signatures, they fail to detect zero-day vulnerabilities or subtle variations in traffic behavior.</w:t>
      </w:r>
    </w:p>
    <w:p>
      <w:pPr>
        <w:spacing w:before="0" w:after="120" w:line="276" w:lineRule="auto"/>
      </w:pPr>
      <w:r>
        <w:rPr>
          <w:rFonts w:ascii="Arial" w:hAnsi="Arial"/>
          <w:b w:val="0"/>
          <w:i w:val="0"/>
          <w:color w:val="2D3748"/>
          <w:sz w:val="21"/>
        </w:rPr>
        <w:t>To address these vulnerabilities, Anomaly-based Network Intrusion Detection Systems (NIDS) powered by Machine Learning (ML) have emerged as an essential defense layer. ML models analyze historical network traffic features—such as duration, protocol types, service endpoints, and flags—to classify traffic into benign (normal) or various threat categories.</w:t>
      </w:r>
    </w:p>
    <w:p>
      <w:pPr>
        <w:spacing w:before="0" w:after="120" w:line="276" w:lineRule="auto"/>
      </w:pPr>
      <w:r>
        <w:rPr>
          <w:rFonts w:ascii="Arial" w:hAnsi="Arial"/>
          <w:b w:val="0"/>
          <w:i w:val="0"/>
          <w:color w:val="2D3748"/>
          <w:sz w:val="21"/>
        </w:rPr>
        <w:t>This project implements an end-to-end NIDS solution combining data preprocessing, model selection, ensemble classification, and a backend web API for real-time traffic inference.</w:t>
      </w:r>
    </w:p>
    <w:p>
      <w:pPr>
        <w:keepNext/>
        <w:spacing w:before="320" w:after="120"/>
      </w:pPr>
      <w:r>
        <w:rPr>
          <w:rFonts w:ascii="Arial" w:hAnsi="Arial"/>
          <w:b/>
          <w:i w:val="0"/>
          <w:color w:val="1B365D"/>
          <w:sz w:val="26"/>
        </w:rPr>
        <w:t>2. Problem Statement</w:t>
      </w:r>
    </w:p>
    <w:p>
      <w:pPr>
        <w:spacing w:before="0" w:after="120" w:line="276" w:lineRule="auto"/>
      </w:pPr>
      <w:r>
        <w:rPr>
          <w:rFonts w:ascii="Arial" w:hAnsi="Arial"/>
          <w:b w:val="0"/>
          <w:i w:val="0"/>
          <w:color w:val="2D3748"/>
          <w:sz w:val="21"/>
        </w:rPr>
        <w:t>Traditional signature-based systems suffer from two main flaws: high false-negative rates for novel threats and high manual effort required to update signature rulebases. Conversely, while machine learning promises higher adaptability, many ML-NIDS models remain theoretical implementations that lack deployment APIs or fail to address multi-class attack granularity effectively. Furthermore, models evaluated on synthetic or static benchmark datasets often exhibit inflated performance (e.g., 100% accuracy), creating a discrepancy between lab validation and real-world network operational performance.</w:t>
      </w:r>
    </w:p>
    <w:p>
      <w:pPr>
        <w:keepNext/>
        <w:spacing w:before="320" w:after="120"/>
      </w:pPr>
      <w:r>
        <w:rPr>
          <w:rFonts w:ascii="Arial" w:hAnsi="Arial"/>
          <w:b/>
          <w:i w:val="0"/>
          <w:color w:val="1B365D"/>
          <w:sz w:val="26"/>
        </w:rPr>
        <w:t>3. Research Objectives</w:t>
      </w:r>
    </w:p>
    <w:p>
      <w:pPr>
        <w:spacing w:before="0" w:after="120" w:line="276" w:lineRule="auto"/>
      </w:pPr>
      <w:r>
        <w:rPr>
          <w:rFonts w:ascii="Arial" w:hAnsi="Arial"/>
          <w:b w:val="0"/>
          <w:i w:val="0"/>
          <w:color w:val="2D3748"/>
          <w:sz w:val="21"/>
        </w:rPr>
        <w:t>1. To design and implement a structured data preprocessing pipeline for raw network flow data.</w:t>
      </w:r>
    </w:p>
    <w:p>
      <w:pPr>
        <w:spacing w:before="0" w:after="120" w:line="276" w:lineRule="auto"/>
      </w:pPr>
      <w:r>
        <w:rPr>
          <w:rFonts w:ascii="Arial" w:hAnsi="Arial"/>
          <w:b w:val="0"/>
          <w:i w:val="0"/>
          <w:color w:val="2D3748"/>
          <w:sz w:val="21"/>
        </w:rPr>
        <w:t>2. To train and comparative-evaluate two ensemble machine learning models—Random Forest and Gradient Boosting—for multi-class threat detection.</w:t>
      </w:r>
    </w:p>
    <w:p>
      <w:pPr>
        <w:spacing w:before="0" w:after="120" w:line="276" w:lineRule="auto"/>
      </w:pPr>
      <w:r>
        <w:rPr>
          <w:rFonts w:ascii="Arial" w:hAnsi="Arial"/>
          <w:b w:val="0"/>
          <w:i w:val="0"/>
          <w:color w:val="2D3748"/>
          <w:sz w:val="21"/>
        </w:rPr>
        <w:t>3. To build a lightweight backend API service to serve the trained ML model for real-time inference requests.</w:t>
      </w:r>
    </w:p>
    <w:p>
      <w:pPr>
        <w:spacing w:before="0" w:after="120" w:line="276" w:lineRule="auto"/>
      </w:pPr>
      <w:r>
        <w:rPr>
          <w:rFonts w:ascii="Arial" w:hAnsi="Arial"/>
          <w:b w:val="0"/>
          <w:i w:val="0"/>
          <w:color w:val="2D3748"/>
          <w:sz w:val="21"/>
        </w:rPr>
        <w:t>4. To evaluate performance across multi-class categories and address practical limitations regarding synthetic evaluation environments.</w:t>
      </w:r>
    </w:p>
    <w:p>
      <w:pPr>
        <w:keepNext/>
        <w:spacing w:before="320" w:after="120"/>
      </w:pPr>
      <w:r>
        <w:rPr>
          <w:rFonts w:ascii="Arial" w:hAnsi="Arial"/>
          <w:b/>
          <w:i w:val="0"/>
          <w:color w:val="1B365D"/>
          <w:sz w:val="26"/>
        </w:rPr>
        <w:t>4. Literature Review / Related Work</w:t>
      </w:r>
    </w:p>
    <w:p>
      <w:pPr>
        <w:spacing w:before="0" w:after="120" w:line="276" w:lineRule="auto"/>
      </w:pPr>
      <w:r>
        <w:rPr>
          <w:rFonts w:ascii="Arial" w:hAnsi="Arial"/>
          <w:b w:val="0"/>
          <w:i w:val="0"/>
          <w:color w:val="2D3748"/>
          <w:sz w:val="21"/>
        </w:rPr>
        <w:t>Machine learning applications in network security have been studied extensively over the last two decades. Early benchmarks relied heavily on the KDD Cup 99 dataset, which was later refined into the NSL-KDD dataset to eliminate duplicate records and bias.</w:t>
      </w:r>
    </w:p>
    <w:p>
      <w:pPr>
        <w:spacing w:before="0" w:after="120" w:line="276" w:lineRule="auto"/>
      </w:pPr>
      <w:r>
        <w:rPr>
          <w:rFonts w:ascii="Arial" w:hAnsi="Arial"/>
          <w:b w:val="0"/>
          <w:i w:val="0"/>
          <w:color w:val="2D3748"/>
          <w:sz w:val="21"/>
        </w:rPr>
        <w:t>• Tavallaee et al. (2009) introduced the NSL-KDD dataset to address severe redundancy problems in KDD Cup 99 that biased machine learning models toward frequent benign patterns.</w:t>
      </w:r>
    </w:p>
    <w:p>
      <w:pPr>
        <w:spacing w:before="0" w:after="120" w:line="276" w:lineRule="auto"/>
      </w:pPr>
      <w:r>
        <w:rPr>
          <w:rFonts w:ascii="Arial" w:hAnsi="Arial"/>
          <w:b w:val="0"/>
          <w:i w:val="0"/>
          <w:color w:val="2D3748"/>
          <w:sz w:val="21"/>
        </w:rPr>
        <w:t>• Resende &amp; Drummond (2018) surveyed ensemble methodologies, demonstrating that Random Forest and Gradient Boosting algorithms consistently outperform single decision trees and naive Bayes classifiers in network traffic profiling due to their resilience against variance and bias.</w:t>
      </w:r>
    </w:p>
    <w:p>
      <w:pPr>
        <w:spacing w:before="0" w:after="120" w:line="276" w:lineRule="auto"/>
      </w:pPr>
      <w:r>
        <w:rPr>
          <w:rFonts w:ascii="Arial" w:hAnsi="Arial"/>
          <w:b w:val="0"/>
          <w:i w:val="0"/>
          <w:color w:val="2D3748"/>
          <w:sz w:val="21"/>
        </w:rPr>
        <w:t>• Salo et al. (2019) highlighted that while high accuracy (&gt;98%) is routinely reported on static benchmark datasets, real-time feature extraction and dynamic concept drift remain critical obstacles during operational deployment.</w:t>
      </w:r>
    </w:p>
    <w:p>
      <w:pPr>
        <w:keepNext/>
        <w:spacing w:before="240" w:after="80"/>
      </w:pPr>
      <w:r>
        <w:rPr>
          <w:rFonts w:ascii="Arial" w:hAnsi="Arial"/>
          <w:b/>
          <w:i w:val="0"/>
          <w:color w:val="4A5568"/>
          <w:sz w:val="23"/>
        </w:rPr>
        <w:t>Summary Comparison of Related Literature</w:t>
      </w:r>
    </w:p>
    <w:tbl>
      <w:tblPr>
        <w:tblW w:type="auto" w:w="0"/>
        <w:jc w:val="center"/>
        <w:tblLook w:firstColumn="1" w:firstRow="1" w:lastColumn="0" w:lastRow="0" w:noHBand="0" w:noVBand="1" w:val="04A0"/>
      </w:tblPr>
      <w:tblGrid>
        <w:gridCol w:w="1806"/>
        <w:gridCol w:w="1806"/>
        <w:gridCol w:w="1806"/>
        <w:gridCol w:w="1806"/>
        <w:gridCol w:w="1806"/>
      </w:tblGrid>
      <w:tr>
        <w:tc>
          <w:tcPr>
            <w:tcW w:type="dxa" w:w="1584"/>
            <w:shd w:fill="1B365D"/>
          </w:tcPr>
          <w:p>
            <w:pPr>
              <w:spacing w:before="80" w:after="80"/>
              <w:jc w:val="left"/>
            </w:pPr>
            <w:r>
              <w:rPr>
                <w:rFonts w:ascii="Arial" w:hAnsi="Arial"/>
                <w:b/>
                <w:i w:val="0"/>
                <w:color w:val="FFFFFF"/>
                <w:sz w:val="19"/>
              </w:rPr>
              <w:t>Study</w:t>
            </w:r>
          </w:p>
        </w:tc>
        <w:tc>
          <w:tcPr>
            <w:tcW w:type="dxa" w:w="1728"/>
            <w:shd w:fill="1B365D"/>
          </w:tcPr>
          <w:p>
            <w:pPr>
              <w:spacing w:before="80" w:after="80"/>
              <w:jc w:val="left"/>
            </w:pPr>
            <w:r>
              <w:rPr>
                <w:rFonts w:ascii="Arial" w:hAnsi="Arial"/>
                <w:b/>
                <w:i w:val="0"/>
                <w:color w:val="FFFFFF"/>
                <w:sz w:val="19"/>
              </w:rPr>
              <w:t>Dataset Used</w:t>
            </w:r>
          </w:p>
        </w:tc>
        <w:tc>
          <w:tcPr>
            <w:tcW w:type="dxa" w:w="2016"/>
            <w:shd w:fill="1B365D"/>
          </w:tcPr>
          <w:p>
            <w:pPr>
              <w:spacing w:before="80" w:after="80"/>
              <w:jc w:val="left"/>
            </w:pPr>
            <w:r>
              <w:rPr>
                <w:rFonts w:ascii="Arial" w:hAnsi="Arial"/>
                <w:b/>
                <w:i w:val="0"/>
                <w:color w:val="FFFFFF"/>
                <w:sz w:val="19"/>
              </w:rPr>
              <w:t>Primary Model(s)</w:t>
            </w:r>
          </w:p>
        </w:tc>
        <w:tc>
          <w:tcPr>
            <w:tcW w:type="dxa" w:w="1440"/>
            <w:shd w:fill="1B365D"/>
          </w:tcPr>
          <w:p>
            <w:pPr>
              <w:spacing w:before="80" w:after="80"/>
              <w:jc w:val="left"/>
            </w:pPr>
            <w:r>
              <w:rPr>
                <w:rFonts w:ascii="Arial" w:hAnsi="Arial"/>
                <w:b/>
                <w:i w:val="0"/>
                <w:color w:val="FFFFFF"/>
                <w:sz w:val="19"/>
              </w:rPr>
              <w:t>Reported Acc.</w:t>
            </w:r>
          </w:p>
        </w:tc>
        <w:tc>
          <w:tcPr>
            <w:tcW w:type="dxa" w:w="2261"/>
            <w:shd w:fill="1B365D"/>
          </w:tcPr>
          <w:p>
            <w:pPr>
              <w:spacing w:before="80" w:after="80"/>
              <w:jc w:val="left"/>
            </w:pPr>
            <w:r>
              <w:rPr>
                <w:rFonts w:ascii="Arial" w:hAnsi="Arial"/>
                <w:b/>
                <w:i w:val="0"/>
                <w:color w:val="FFFFFF"/>
                <w:sz w:val="19"/>
              </w:rPr>
              <w:t>Focus / Contribution</w:t>
            </w:r>
          </w:p>
        </w:tc>
      </w:tr>
      <w:tr>
        <w:tc>
          <w:tcPr>
            <w:tcW w:type="dxa" w:w="1584"/>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Tavallaee et al. (2009)</w:t>
            </w:r>
          </w:p>
        </w:tc>
        <w:tc>
          <w:tcPr>
            <w:tcW w:type="dxa" w:w="1728"/>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NSL-KDD</w:t>
            </w:r>
          </w:p>
        </w:tc>
        <w:tc>
          <w:tcPr>
            <w:tcW w:type="dxa" w:w="2016"/>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Decision Tree, Naive Bayes</w:t>
            </w:r>
          </w:p>
        </w:tc>
        <w:tc>
          <w:tcPr>
            <w:tcW w:type="dxa" w:w="144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81.2% - 82.0%</w:t>
            </w:r>
          </w:p>
        </w:tc>
        <w:tc>
          <w:tcPr>
            <w:tcW w:type="dxa" w:w="2261"/>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Dataset refinement &amp; duplicate reduction</w:t>
            </w:r>
          </w:p>
        </w:tc>
      </w:tr>
      <w:tr>
        <w:tc>
          <w:tcPr>
            <w:tcW w:type="dxa" w:w="1584"/>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Resende &amp; Drummond (2018)</w:t>
            </w:r>
          </w:p>
        </w:tc>
        <w:tc>
          <w:tcPr>
            <w:tcW w:type="dxa" w:w="1728"/>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NSL-KDD / CICIDS</w:t>
            </w:r>
          </w:p>
        </w:tc>
        <w:tc>
          <w:tcPr>
            <w:tcW w:type="dxa" w:w="2016"/>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Random Forest, SVM</w:t>
            </w:r>
          </w:p>
        </w:tc>
        <w:tc>
          <w:tcPr>
            <w:tcW w:type="dxa" w:w="144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95.4%</w:t>
            </w:r>
          </w:p>
        </w:tc>
        <w:tc>
          <w:tcPr>
            <w:tcW w:type="dxa" w:w="2261"/>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Ensemble evaluation for multi-class attacks</w:t>
            </w:r>
          </w:p>
        </w:tc>
      </w:tr>
      <w:tr>
        <w:tc>
          <w:tcPr>
            <w:tcW w:type="dxa" w:w="1584"/>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Salo et al. (2019)</w:t>
            </w:r>
          </w:p>
        </w:tc>
        <w:tc>
          <w:tcPr>
            <w:tcW w:type="dxa" w:w="1728"/>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NSL-KDD</w:t>
            </w:r>
          </w:p>
        </w:tc>
        <w:tc>
          <w:tcPr>
            <w:tcW w:type="dxa" w:w="2016"/>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Hybrid Feature Selection + XGBoost</w:t>
            </w:r>
          </w:p>
        </w:tc>
        <w:tc>
          <w:tcPr>
            <w:tcW w:type="dxa" w:w="144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99.1%</w:t>
            </w:r>
          </w:p>
        </w:tc>
        <w:tc>
          <w:tcPr>
            <w:tcW w:type="dxa" w:w="2261"/>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Feature dimensionality reduction</w:t>
            </w:r>
          </w:p>
        </w:tc>
      </w:tr>
      <w:tr>
        <w:tc>
          <w:tcPr>
            <w:tcW w:type="dxa" w:w="1584"/>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Our Project (cyberAbubakr)</w:t>
            </w:r>
          </w:p>
        </w:tc>
        <w:tc>
          <w:tcPr>
            <w:tcW w:type="dxa" w:w="1728"/>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Network / Synthetic</w:t>
            </w:r>
          </w:p>
        </w:tc>
        <w:tc>
          <w:tcPr>
            <w:tcW w:type="dxa" w:w="2016"/>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Random Forest, Gradient Boosting</w:t>
            </w:r>
          </w:p>
        </w:tc>
        <w:tc>
          <w:tcPr>
            <w:tcW w:type="dxa" w:w="144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Up to 100% (Lab)</w:t>
            </w:r>
          </w:p>
        </w:tc>
        <w:tc>
          <w:tcPr>
            <w:tcW w:type="dxa" w:w="2261"/>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End-to-end ML pipeline with backend REST API</w:t>
            </w:r>
          </w:p>
        </w:tc>
      </w:tr>
    </w:tbl>
    <w:p>
      <w:pPr>
        <w:spacing w:before="0" w:after="160"/>
      </w:pPr>
    </w:p>
    <w:p>
      <w:pPr>
        <w:keepNext/>
        <w:spacing w:before="320" w:after="120"/>
      </w:pPr>
      <w:r>
        <w:rPr>
          <w:rFonts w:ascii="Arial" w:hAnsi="Arial"/>
          <w:b/>
          <w:i w:val="0"/>
          <w:color w:val="1B365D"/>
          <w:sz w:val="26"/>
        </w:rPr>
        <w:t>5. Research Gap</w:t>
      </w:r>
    </w:p>
    <w:p>
      <w:pPr>
        <w:spacing w:before="0" w:after="120" w:line="276" w:lineRule="auto"/>
      </w:pPr>
      <w:r>
        <w:rPr>
          <w:rFonts w:ascii="Arial" w:hAnsi="Arial"/>
          <w:b w:val="0"/>
          <w:i w:val="0"/>
          <w:color w:val="2D3748"/>
          <w:sz w:val="21"/>
        </w:rPr>
        <w:t>While prior literature heavily focuses on optimizing model accuracy algorithms on offline datasets, limited focus is placed on bridging the software engineering gap between model training and runtime deployment via production-ready backend APIs. Additionally, many studies omit clear discussion regarding how synthetic or pre-cleaned benchmarking environments skew validation metrics compared to live production network packet flows.</w:t>
      </w:r>
    </w:p>
    <w:p>
      <w:pPr>
        <w:keepNext/>
        <w:spacing w:before="320" w:after="120"/>
      </w:pPr>
      <w:r>
        <w:rPr>
          <w:rFonts w:ascii="Arial" w:hAnsi="Arial"/>
          <w:b/>
          <w:i w:val="0"/>
          <w:color w:val="1B365D"/>
          <w:sz w:val="26"/>
        </w:rPr>
        <w:t>6. Proposed Methodology</w:t>
      </w:r>
    </w:p>
    <w:p>
      <w:pPr>
        <w:keepNext/>
        <w:spacing w:before="240" w:after="80"/>
      </w:pPr>
      <w:r>
        <w:rPr>
          <w:rFonts w:ascii="Arial" w:hAnsi="Arial"/>
          <w:b/>
          <w:i w:val="0"/>
          <w:color w:val="4A5568"/>
          <w:sz w:val="23"/>
        </w:rPr>
        <w:t>6.1 Dataset Description</w:t>
      </w:r>
    </w:p>
    <w:p>
      <w:pPr>
        <w:spacing w:before="0" w:after="120" w:line="276" w:lineRule="auto"/>
      </w:pPr>
      <w:r>
        <w:rPr>
          <w:rFonts w:ascii="Arial" w:hAnsi="Arial"/>
          <w:b w:val="0"/>
          <w:i w:val="0"/>
          <w:color w:val="2D3748"/>
          <w:sz w:val="21"/>
        </w:rPr>
        <w:t>The system utilizes structured network connection records consisting of traffic flow characteristics summarized across distinct operational categories:</w:t>
      </w:r>
    </w:p>
    <w:tbl>
      <w:tblPr>
        <w:tblW w:type="auto" w:w="0"/>
        <w:jc w:val="center"/>
        <w:tblLook w:firstColumn="1" w:firstRow="1" w:lastColumn="0" w:lastRow="0" w:noHBand="0" w:noVBand="1" w:val="04A0"/>
      </w:tblPr>
      <w:tblGrid>
        <w:gridCol w:w="3010"/>
        <w:gridCol w:w="3010"/>
        <w:gridCol w:w="3010"/>
      </w:tblGrid>
      <w:tr>
        <w:tc>
          <w:tcPr>
            <w:tcW w:type="dxa" w:w="2592"/>
            <w:shd w:fill="1B365D"/>
          </w:tcPr>
          <w:p>
            <w:pPr>
              <w:spacing w:before="80" w:after="80"/>
              <w:jc w:val="left"/>
            </w:pPr>
            <w:r>
              <w:rPr>
                <w:rFonts w:ascii="Arial" w:hAnsi="Arial"/>
                <w:b/>
                <w:i w:val="0"/>
                <w:color w:val="FFFFFF"/>
                <w:sz w:val="19"/>
              </w:rPr>
              <w:t>Feature Category</w:t>
            </w:r>
          </w:p>
        </w:tc>
        <w:tc>
          <w:tcPr>
            <w:tcW w:type="dxa" w:w="3600"/>
            <w:shd w:fill="1B365D"/>
          </w:tcPr>
          <w:p>
            <w:pPr>
              <w:spacing w:before="80" w:after="80"/>
              <w:jc w:val="left"/>
            </w:pPr>
            <w:r>
              <w:rPr>
                <w:rFonts w:ascii="Arial" w:hAnsi="Arial"/>
                <w:b/>
                <w:i w:val="0"/>
                <w:color w:val="FFFFFF"/>
                <w:sz w:val="19"/>
              </w:rPr>
              <w:t>Description</w:t>
            </w:r>
          </w:p>
        </w:tc>
        <w:tc>
          <w:tcPr>
            <w:tcW w:type="dxa" w:w="2837"/>
            <w:shd w:fill="1B365D"/>
          </w:tcPr>
          <w:p>
            <w:pPr>
              <w:spacing w:before="80" w:after="80"/>
              <w:jc w:val="left"/>
            </w:pPr>
            <w:r>
              <w:rPr>
                <w:rFonts w:ascii="Arial" w:hAnsi="Arial"/>
                <w:b/>
                <w:i w:val="0"/>
                <w:color w:val="FFFFFF"/>
                <w:sz w:val="19"/>
              </w:rPr>
              <w:t>Representative Features</w:t>
            </w:r>
          </w:p>
        </w:tc>
      </w:tr>
      <w:tr>
        <w:tc>
          <w:tcPr>
            <w:tcW w:type="dxa" w:w="2592"/>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Basic Connection Features</w:t>
            </w:r>
          </w:p>
        </w:tc>
        <w:tc>
          <w:tcPr>
            <w:tcW w:type="dxa" w:w="360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Fundamental properties of TCP/UDP connections</w:t>
            </w:r>
          </w:p>
        </w:tc>
        <w:tc>
          <w:tcPr>
            <w:tcW w:type="dxa" w:w="2837"/>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duration, protocol_type, service, flag, src_bytes, dst_bytes</w:t>
            </w:r>
          </w:p>
        </w:tc>
      </w:tr>
      <w:tr>
        <w:tc>
          <w:tcPr>
            <w:tcW w:type="dxa" w:w="2592"/>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Content Features</w:t>
            </w:r>
          </w:p>
        </w:tc>
        <w:tc>
          <w:tcPr>
            <w:tcW w:type="dxa" w:w="360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Domain-specific payload attributes</w:t>
            </w:r>
          </w:p>
        </w:tc>
        <w:tc>
          <w:tcPr>
            <w:tcW w:type="dxa" w:w="2837"/>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logged_in, num_failed_logins, root_shell, is_host_login</w:t>
            </w:r>
          </w:p>
        </w:tc>
      </w:tr>
      <w:tr>
        <w:tc>
          <w:tcPr>
            <w:tcW w:type="dxa" w:w="2592"/>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Time-based Traffic Features</w:t>
            </w:r>
          </w:p>
        </w:tc>
        <w:tc>
          <w:tcPr>
            <w:tcW w:type="dxa" w:w="360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Aggregated statistics over time windows</w:t>
            </w:r>
          </w:p>
        </w:tc>
        <w:tc>
          <w:tcPr>
            <w:tcW w:type="dxa" w:w="2837"/>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count, srv_count, serror_rate, rerror_rate</w:t>
            </w:r>
          </w:p>
        </w:tc>
      </w:tr>
      <w:tr>
        <w:tc>
          <w:tcPr>
            <w:tcW w:type="dxa" w:w="2592"/>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Host-based Traffic Features</w:t>
            </w:r>
          </w:p>
        </w:tc>
        <w:tc>
          <w:tcPr>
            <w:tcW w:type="dxa" w:w="360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Destination host behavior patterns</w:t>
            </w:r>
          </w:p>
        </w:tc>
        <w:tc>
          <w:tcPr>
            <w:tcW w:type="dxa" w:w="2837"/>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dst_host_count, dst_host_srv_count, dst_host_same_src_port_rate</w:t>
            </w:r>
          </w:p>
        </w:tc>
      </w:tr>
    </w:tbl>
    <w:p>
      <w:pPr>
        <w:spacing w:before="0" w:after="160"/>
      </w:pPr>
    </w:p>
    <w:p>
      <w:pPr>
        <w:keepNext/>
        <w:spacing w:before="240" w:after="80"/>
      </w:pPr>
      <w:r>
        <w:rPr>
          <w:rFonts w:ascii="Arial" w:hAnsi="Arial"/>
          <w:b/>
          <w:i w:val="0"/>
          <w:color w:val="4A5568"/>
          <w:sz w:val="23"/>
        </w:rPr>
        <w:t>6.2 Attack Classification Classes</w:t>
      </w:r>
    </w:p>
    <w:p>
      <w:pPr>
        <w:spacing w:before="0" w:after="120" w:line="276" w:lineRule="auto"/>
      </w:pPr>
      <w:r>
        <w:rPr>
          <w:rFonts w:ascii="Arial" w:hAnsi="Arial"/>
          <w:b w:val="0"/>
          <w:i w:val="0"/>
          <w:color w:val="2D3748"/>
          <w:sz w:val="21"/>
        </w:rPr>
        <w:t>The classification target encompasses benign traffic along with four key multi-class threat categories:</w:t>
      </w:r>
    </w:p>
    <w:tbl>
      <w:tblPr>
        <w:tblW w:type="auto" w:w="0"/>
        <w:jc w:val="center"/>
        <w:tblLook w:firstColumn="1" w:firstRow="1" w:lastColumn="0" w:lastRow="0" w:noHBand="0" w:noVBand="1" w:val="04A0"/>
      </w:tblPr>
      <w:tblGrid>
        <w:gridCol w:w="3010"/>
        <w:gridCol w:w="3010"/>
        <w:gridCol w:w="3010"/>
      </w:tblGrid>
      <w:tr>
        <w:tc>
          <w:tcPr>
            <w:tcW w:type="dxa" w:w="2160"/>
            <w:shd w:fill="1B365D"/>
          </w:tcPr>
          <w:p>
            <w:pPr>
              <w:spacing w:before="80" w:after="80"/>
              <w:jc w:val="left"/>
            </w:pPr>
            <w:r>
              <w:rPr>
                <w:rFonts w:ascii="Arial" w:hAnsi="Arial"/>
                <w:b/>
                <w:i w:val="0"/>
                <w:color w:val="FFFFFF"/>
                <w:sz w:val="19"/>
              </w:rPr>
              <w:t>Attack Category</w:t>
            </w:r>
          </w:p>
        </w:tc>
        <w:tc>
          <w:tcPr>
            <w:tcW w:type="dxa" w:w="1728"/>
            <w:shd w:fill="1B365D"/>
          </w:tcPr>
          <w:p>
            <w:pPr>
              <w:spacing w:before="80" w:after="80"/>
              <w:jc w:val="left"/>
            </w:pPr>
            <w:r>
              <w:rPr>
                <w:rFonts w:ascii="Arial" w:hAnsi="Arial"/>
                <w:b/>
                <w:i w:val="0"/>
                <w:color w:val="FFFFFF"/>
                <w:sz w:val="19"/>
              </w:rPr>
              <w:t>Class Label</w:t>
            </w:r>
          </w:p>
        </w:tc>
        <w:tc>
          <w:tcPr>
            <w:tcW w:type="dxa" w:w="5141"/>
            <w:shd w:fill="1B365D"/>
          </w:tcPr>
          <w:p>
            <w:pPr>
              <w:spacing w:before="80" w:after="80"/>
              <w:jc w:val="left"/>
            </w:pPr>
            <w:r>
              <w:rPr>
                <w:rFonts w:ascii="Arial" w:hAnsi="Arial"/>
                <w:b/>
                <w:i w:val="0"/>
                <w:color w:val="FFFFFF"/>
                <w:sz w:val="19"/>
              </w:rPr>
              <w:t>Description</w:t>
            </w:r>
          </w:p>
        </w:tc>
      </w:tr>
      <w:tr>
        <w:tc>
          <w:tcPr>
            <w:tcW w:type="dxa" w:w="216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Normal</w:t>
            </w:r>
          </w:p>
        </w:tc>
        <w:tc>
          <w:tcPr>
            <w:tcW w:type="dxa" w:w="1728"/>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Normal</w:t>
            </w:r>
          </w:p>
        </w:tc>
        <w:tc>
          <w:tcPr>
            <w:tcW w:type="dxa" w:w="5141"/>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Standard, non-malicious user network activity</w:t>
            </w:r>
          </w:p>
        </w:tc>
      </w:tr>
      <w:tr>
        <w:tc>
          <w:tcPr>
            <w:tcW w:type="dxa" w:w="216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Denial of Service (DoS)</w:t>
            </w:r>
          </w:p>
        </w:tc>
        <w:tc>
          <w:tcPr>
            <w:tcW w:type="dxa" w:w="1728"/>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DoS</w:t>
            </w:r>
          </w:p>
        </w:tc>
        <w:tc>
          <w:tcPr>
            <w:tcW w:type="dxa" w:w="5141"/>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Flooding attempts to overwhelm target system resources</w:t>
            </w:r>
          </w:p>
        </w:tc>
      </w:tr>
      <w:tr>
        <w:tc>
          <w:tcPr>
            <w:tcW w:type="dxa" w:w="216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Port Scanning / Probe</w:t>
            </w:r>
          </w:p>
        </w:tc>
        <w:tc>
          <w:tcPr>
            <w:tcW w:type="dxa" w:w="1728"/>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Probe</w:t>
            </w:r>
          </w:p>
        </w:tc>
        <w:tc>
          <w:tcPr>
            <w:tcW w:type="dxa" w:w="5141"/>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Reconnaissance scanning to discover vulnerable ports and services</w:t>
            </w:r>
          </w:p>
        </w:tc>
      </w:tr>
      <w:tr>
        <w:tc>
          <w:tcPr>
            <w:tcW w:type="dxa" w:w="2160"/>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Remote to Local (R2L)</w:t>
            </w:r>
          </w:p>
        </w:tc>
        <w:tc>
          <w:tcPr>
            <w:tcW w:type="dxa" w:w="1728"/>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R2L</w:t>
            </w:r>
          </w:p>
        </w:tc>
        <w:tc>
          <w:tcPr>
            <w:tcW w:type="dxa" w:w="5141"/>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Unauthorized access attempts from a remote machine</w:t>
            </w:r>
          </w:p>
        </w:tc>
      </w:tr>
      <w:tr>
        <w:tc>
          <w:tcPr>
            <w:tcW w:type="dxa" w:w="2160"/>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User to Root (U2R)</w:t>
            </w:r>
          </w:p>
        </w:tc>
        <w:tc>
          <w:tcPr>
            <w:tcW w:type="dxa" w:w="1728"/>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U2R</w:t>
            </w:r>
          </w:p>
        </w:tc>
        <w:tc>
          <w:tcPr>
            <w:tcW w:type="dxa" w:w="5141"/>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Local privilege escalation attempts to gain administrative access</w:t>
            </w:r>
          </w:p>
        </w:tc>
      </w:tr>
    </w:tbl>
    <w:p>
      <w:pPr>
        <w:spacing w:before="0" w:after="160"/>
      </w:pPr>
    </w:p>
    <w:p>
      <w:pPr>
        <w:keepNext/>
        <w:spacing w:before="240" w:after="80"/>
      </w:pPr>
      <w:r>
        <w:rPr>
          <w:rFonts w:ascii="Arial" w:hAnsi="Arial"/>
          <w:b/>
          <w:i w:val="0"/>
          <w:color w:val="4A5568"/>
          <w:sz w:val="23"/>
        </w:rPr>
        <w:t>6.3 Data Preprocessing &amp; Feature Engineering</w:t>
      </w:r>
    </w:p>
    <w:p>
      <w:pPr>
        <w:spacing w:before="0" w:after="120" w:line="276" w:lineRule="auto"/>
      </w:pPr>
      <w:r>
        <w:rPr>
          <w:rFonts w:ascii="Arial" w:hAnsi="Arial"/>
          <w:b w:val="0"/>
          <w:i w:val="0"/>
          <w:color w:val="2D3748"/>
          <w:sz w:val="21"/>
        </w:rPr>
        <w:t>1. Data Cleaning: Null value removal/imputation and duplicate entry detection.</w:t>
      </w:r>
    </w:p>
    <w:p>
      <w:pPr>
        <w:spacing w:before="0" w:after="120" w:line="276" w:lineRule="auto"/>
      </w:pPr>
      <w:r>
        <w:rPr>
          <w:rFonts w:ascii="Arial" w:hAnsi="Arial"/>
          <w:b w:val="0"/>
          <w:i w:val="0"/>
          <w:color w:val="2D3748"/>
          <w:sz w:val="21"/>
        </w:rPr>
        <w:t>2. Categorical Encoding: Non-numeric features (such as protocol_type, service, and flag) are converted into numerical formats using One-Hot Encoding or Label Encoding.</w:t>
      </w:r>
    </w:p>
    <w:p>
      <w:pPr>
        <w:spacing w:before="0" w:after="120" w:line="276" w:lineRule="auto"/>
      </w:pPr>
      <w:r>
        <w:rPr>
          <w:rFonts w:ascii="Arial" w:hAnsi="Arial"/>
          <w:b w:val="0"/>
          <w:i w:val="0"/>
          <w:color w:val="2D3748"/>
          <w:sz w:val="21"/>
        </w:rPr>
        <w:t>3. Feature Scaling: Continuous numeric values are standardized using Standard Scaling (z = (x - mean) / std) or Min-Max Normalization to prevent high-magnitude features from dominating model distance calculations.</w:t>
      </w:r>
    </w:p>
    <w:p>
      <w:pPr>
        <w:keepNext/>
        <w:spacing w:before="240" w:after="80"/>
      </w:pPr>
      <w:r>
        <w:rPr>
          <w:rFonts w:ascii="Arial" w:hAnsi="Arial"/>
          <w:b/>
          <w:i w:val="0"/>
          <w:color w:val="4A5568"/>
          <w:sz w:val="23"/>
        </w:rPr>
        <w:t>6.4 Machine Learning Models</w:t>
      </w:r>
    </w:p>
    <w:p>
      <w:pPr>
        <w:spacing w:before="0" w:after="120" w:line="276" w:lineRule="auto"/>
      </w:pPr>
      <w:r>
        <w:rPr>
          <w:rFonts w:ascii="Arial" w:hAnsi="Arial"/>
          <w:b w:val="0"/>
          <w:i w:val="0"/>
          <w:color w:val="2D3748"/>
          <w:sz w:val="21"/>
        </w:rPr>
        <w:t>• Random Forest (RF): An ensemble learning method operating by constructing a multitude of decision trees during training time. It outputs the class that is the mode of the individual decision tree outputs.</w:t>
      </w:r>
    </w:p>
    <w:p>
      <w:pPr>
        <w:spacing w:before="0" w:after="120" w:line="276" w:lineRule="auto"/>
      </w:pPr>
      <w:r>
        <w:rPr>
          <w:rFonts w:ascii="Arial" w:hAnsi="Arial"/>
          <w:b w:val="0"/>
          <w:i w:val="0"/>
          <w:color w:val="2D3748"/>
          <w:sz w:val="21"/>
        </w:rPr>
        <w:t>• Gradient Boosting Classifier (GB): Builds decision trees sequentially. Each subsequent tree is trained to predict the residual errors of the previous ensemble combination, minimizing loss via gradient descent.</w:t>
      </w:r>
    </w:p>
    <w:p>
      <w:pPr>
        <w:keepNext/>
        <w:spacing w:before="320" w:after="120"/>
      </w:pPr>
      <w:r>
        <w:rPr>
          <w:rFonts w:ascii="Arial" w:hAnsi="Arial"/>
          <w:b/>
          <w:i w:val="0"/>
          <w:color w:val="1B365D"/>
          <w:sz w:val="26"/>
        </w:rPr>
        <w:t>7. System Architecture &amp; Implementation</w:t>
      </w:r>
    </w:p>
    <w:p>
      <w:pPr>
        <w:spacing w:before="0" w:after="120" w:line="276" w:lineRule="auto"/>
      </w:pPr>
      <w:r>
        <w:rPr>
          <w:rFonts w:ascii="Arial" w:hAnsi="Arial"/>
          <w:b w:val="0"/>
          <w:i w:val="0"/>
          <w:color w:val="2D3748"/>
          <w:sz w:val="21"/>
        </w:rPr>
        <w:t>The system includes a Python-based backend service (built using Flask/FastAPI framework) that exposes a prediction endpoint for real-time traffic classification.</w:t>
      </w:r>
    </w:p>
    <w:p>
      <w:pPr>
        <w:spacing w:before="0" w:after="120" w:line="276" w:lineRule="auto"/>
      </w:pPr>
      <w:r>
        <w:rPr>
          <w:rFonts w:ascii="Arial" w:hAnsi="Arial"/>
          <w:b w:val="0"/>
          <w:i w:val="0"/>
          <w:color w:val="2D3748"/>
          <w:sz w:val="21"/>
        </w:rPr>
        <w:t>• Model Serialization: The trained ensemble model and scaler transformers are saved to disk using joblib or pickle formats.</w:t>
      </w:r>
    </w:p>
    <w:p>
      <w:pPr>
        <w:spacing w:before="0" w:after="120" w:line="276" w:lineRule="auto"/>
      </w:pPr>
      <w:r>
        <w:rPr>
          <w:rFonts w:ascii="Arial" w:hAnsi="Arial"/>
          <w:b w:val="0"/>
          <w:i w:val="0"/>
          <w:color w:val="2D3748"/>
          <w:sz w:val="21"/>
        </w:rPr>
        <w:t>• Inference Pipeline: Upon receiving a JSON payload representing a single network flow log, the API passes inputs through the scaling pipeline and returns the classification category alongside prediction probabilities.</w:t>
      </w:r>
    </w:p>
    <w:p>
      <w:pPr>
        <w:keepNext/>
        <w:spacing w:before="320" w:after="120"/>
      </w:pPr>
      <w:r>
        <w:rPr>
          <w:rFonts w:ascii="Arial" w:hAnsi="Arial"/>
          <w:b/>
          <w:i w:val="0"/>
          <w:color w:val="1B365D"/>
          <w:sz w:val="26"/>
        </w:rPr>
        <w:t>8. Experimental Setup, Results, and Evaluation</w:t>
      </w:r>
    </w:p>
    <w:p>
      <w:pPr>
        <w:spacing w:before="0" w:after="120" w:line="276" w:lineRule="auto"/>
      </w:pPr>
      <w:r>
        <w:rPr>
          <w:rFonts w:ascii="Arial" w:hAnsi="Arial"/>
          <w:b w:val="0"/>
          <w:i w:val="0"/>
          <w:color w:val="2D3748"/>
          <w:sz w:val="21"/>
        </w:rPr>
        <w:t>The experimental setup utilized Python 3.x with scikit-learn, pandas, numpy, and Flask. In repository validation tests using synthetic/pre-evaluated test subsets, both Random Forest and Gradient Boosting achieved ideal performance metrics: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2592"/>
            <w:shd w:fill="1B365D"/>
          </w:tcPr>
          <w:p>
            <w:pPr>
              <w:spacing w:before="80" w:after="80"/>
              <w:jc w:val="left"/>
            </w:pPr>
            <w:r>
              <w:rPr>
                <w:rFonts w:ascii="Arial" w:hAnsi="Arial"/>
                <w:b/>
                <w:i w:val="0"/>
                <w:color w:val="FFFFFF"/>
                <w:sz w:val="19"/>
              </w:rPr>
              <w:t>Model</w:t>
            </w:r>
          </w:p>
        </w:tc>
        <w:tc>
          <w:tcPr>
            <w:tcW w:type="dxa" w:w="1584"/>
            <w:shd w:fill="1B365D"/>
          </w:tcPr>
          <w:p>
            <w:pPr>
              <w:spacing w:before="80" w:after="80"/>
              <w:jc w:val="left"/>
            </w:pPr>
            <w:r>
              <w:rPr>
                <w:rFonts w:ascii="Arial" w:hAnsi="Arial"/>
                <w:b/>
                <w:i w:val="0"/>
                <w:color w:val="FFFFFF"/>
                <w:sz w:val="19"/>
              </w:rPr>
              <w:t>Accuracy</w:t>
            </w:r>
          </w:p>
        </w:tc>
        <w:tc>
          <w:tcPr>
            <w:tcW w:type="dxa" w:w="1584"/>
            <w:shd w:fill="1B365D"/>
          </w:tcPr>
          <w:p>
            <w:pPr>
              <w:spacing w:before="80" w:after="80"/>
              <w:jc w:val="left"/>
            </w:pPr>
            <w:r>
              <w:rPr>
                <w:rFonts w:ascii="Arial" w:hAnsi="Arial"/>
                <w:b/>
                <w:i w:val="0"/>
                <w:color w:val="FFFFFF"/>
                <w:sz w:val="19"/>
              </w:rPr>
              <w:t>Precision</w:t>
            </w:r>
          </w:p>
        </w:tc>
        <w:tc>
          <w:tcPr>
            <w:tcW w:type="dxa" w:w="1584"/>
            <w:shd w:fill="1B365D"/>
          </w:tcPr>
          <w:p>
            <w:pPr>
              <w:spacing w:before="80" w:after="80"/>
              <w:jc w:val="left"/>
            </w:pPr>
            <w:r>
              <w:rPr>
                <w:rFonts w:ascii="Arial" w:hAnsi="Arial"/>
                <w:b/>
                <w:i w:val="0"/>
                <w:color w:val="FFFFFF"/>
                <w:sz w:val="19"/>
              </w:rPr>
              <w:t>Recall</w:t>
            </w:r>
          </w:p>
        </w:tc>
        <w:tc>
          <w:tcPr>
            <w:tcW w:type="dxa" w:w="1685"/>
            <w:shd w:fill="1B365D"/>
          </w:tcPr>
          <w:p>
            <w:pPr>
              <w:spacing w:before="80" w:after="80"/>
              <w:jc w:val="left"/>
            </w:pPr>
            <w:r>
              <w:rPr>
                <w:rFonts w:ascii="Arial" w:hAnsi="Arial"/>
                <w:b/>
                <w:i w:val="0"/>
                <w:color w:val="FFFFFF"/>
                <w:sz w:val="19"/>
              </w:rPr>
              <w:t>F1-Score</w:t>
            </w:r>
          </w:p>
        </w:tc>
      </w:tr>
      <w:tr>
        <w:tc>
          <w:tcPr>
            <w:tcW w:type="dxa" w:w="2592"/>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Random Forest</w:t>
            </w:r>
          </w:p>
        </w:tc>
        <w:tc>
          <w:tcPr>
            <w:tcW w:type="dxa" w:w="1584"/>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 (100%)</w:t>
            </w:r>
          </w:p>
        </w:tc>
        <w:tc>
          <w:tcPr>
            <w:tcW w:type="dxa" w:w="1584"/>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c>
          <w:tcPr>
            <w:tcW w:type="dxa" w:w="1584"/>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c>
          <w:tcPr>
            <w:tcW w:type="dxa" w:w="1685"/>
            <w:shd w:fill="FFFFFF"/>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r>
      <w:tr>
        <w:tc>
          <w:tcPr>
            <w:tcW w:type="dxa" w:w="2592"/>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Gradient Boosting</w:t>
            </w:r>
          </w:p>
        </w:tc>
        <w:tc>
          <w:tcPr>
            <w:tcW w:type="dxa" w:w="1584"/>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 (100%)</w:t>
            </w:r>
          </w:p>
        </w:tc>
        <w:tc>
          <w:tcPr>
            <w:tcW w:type="dxa" w:w="1584"/>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c>
          <w:tcPr>
            <w:tcW w:type="dxa" w:w="1584"/>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c>
          <w:tcPr>
            <w:tcW w:type="dxa" w:w="1685"/>
            <w:shd w:fill="EDF2F7"/>
            <w:tcBorders>
              <w:top w:val="single" w:sz="4" w:space="0" w:color="CBD5E0"/>
              <w:left w:val="none"/>
              <w:bottom w:val="single" w:sz="4" w:space="0" w:color="CBD5E0"/>
              <w:right w:val="none"/>
            </w:tcBorders>
          </w:tcPr>
          <w:p>
            <w:pPr>
              <w:spacing w:before="60" w:after="60"/>
              <w:jc w:val="left"/>
            </w:pPr>
            <w:r>
              <w:rPr>
                <w:rFonts w:ascii="Arial" w:hAnsi="Arial"/>
                <w:b w:val="0"/>
                <w:i w:val="0"/>
                <w:color w:val="2D3748"/>
                <w:sz w:val="18"/>
              </w:rPr>
              <w:t>1.00</w:t>
            </w:r>
          </w:p>
        </w:tc>
      </w:tr>
    </w:tbl>
    <w:p>
      <w:pPr>
        <w:spacing w:before="0" w:after="160"/>
      </w:pPr>
    </w:p>
    <w:p>
      <w:pPr>
        <w:keepNext/>
        <w:spacing w:before="320" w:after="120"/>
      </w:pPr>
      <w:r>
        <w:rPr>
          <w:rFonts w:ascii="Arial" w:hAnsi="Arial"/>
          <w:b/>
          <w:i w:val="0"/>
          <w:color w:val="1B365D"/>
          <w:sz w:val="26"/>
        </w:rPr>
        <w:t>9. Discussion &amp; Critical Analysis of 100% Accuracy</w:t>
      </w:r>
    </w:p>
    <w:p>
      <w:pPr>
        <w:spacing w:before="0" w:after="120" w:line="276" w:lineRule="auto"/>
      </w:pPr>
      <w:r>
        <w:rPr>
          <w:rFonts w:ascii="Arial" w:hAnsi="Arial"/>
          <w:b w:val="0"/>
          <w:i w:val="0"/>
          <w:color w:val="2D3748"/>
          <w:sz w:val="21"/>
        </w:rPr>
        <w:t>While the experimental validation achieved 100% accuracy, this result requires careful academic context:</w:t>
      </w:r>
    </w:p>
    <w:p>
      <w:pPr>
        <w:spacing w:before="0" w:after="120" w:line="276" w:lineRule="auto"/>
      </w:pPr>
      <w:r>
        <w:rPr>
          <w:rFonts w:ascii="Arial" w:hAnsi="Arial"/>
          <w:b w:val="0"/>
          <w:i w:val="0"/>
          <w:color w:val="2D3748"/>
          <w:sz w:val="21"/>
        </w:rPr>
        <w:t>1. Synthetic Data &amp; Clean Environment: The evaluation dataset represents a controlled, synthetic environment with clear statistical separation between normal and malicious features.</w:t>
      </w:r>
    </w:p>
    <w:p>
      <w:pPr>
        <w:spacing w:before="0" w:after="120" w:line="276" w:lineRule="auto"/>
      </w:pPr>
      <w:r>
        <w:rPr>
          <w:rFonts w:ascii="Arial" w:hAnsi="Arial"/>
          <w:b w:val="0"/>
          <w:i w:val="0"/>
          <w:color w:val="2D3748"/>
          <w:sz w:val="21"/>
        </w:rPr>
        <w:t>2. Overfitting Risks: Achieving perfect metrics on a static validation split often indicates model overfitting to known patterns, meaning performance will drop when confronted with real-world noise, encrypted traffic, or zero-day exploits.</w:t>
      </w:r>
    </w:p>
    <w:p>
      <w:pPr>
        <w:spacing w:before="0" w:after="120" w:line="276" w:lineRule="auto"/>
      </w:pPr>
      <w:r>
        <w:rPr>
          <w:rFonts w:ascii="Arial" w:hAnsi="Arial"/>
          <w:b w:val="0"/>
          <w:i w:val="0"/>
          <w:color w:val="2D3748"/>
          <w:sz w:val="21"/>
        </w:rPr>
        <w:t>3. Operational Reality: In live enterprise environments, packet drop rates, asymmetric routing, and shifting baseline behaviors introduce noise that makes sustained 100% precision unfeasible.</w:t>
      </w:r>
    </w:p>
    <w:p>
      <w:pPr>
        <w:keepNext/>
        <w:spacing w:before="320" w:after="120"/>
      </w:pPr>
      <w:r>
        <w:rPr>
          <w:rFonts w:ascii="Arial" w:hAnsi="Arial"/>
          <w:b/>
          <w:i w:val="0"/>
          <w:color w:val="1B365D"/>
          <w:sz w:val="26"/>
        </w:rPr>
        <w:t>10. Limitations</w:t>
      </w:r>
    </w:p>
    <w:p>
      <w:pPr>
        <w:spacing w:before="0" w:after="120" w:line="276" w:lineRule="auto"/>
      </w:pPr>
      <w:r>
        <w:rPr>
          <w:rFonts w:ascii="Arial" w:hAnsi="Arial"/>
          <w:b w:val="0"/>
          <w:i w:val="0"/>
          <w:color w:val="2D3748"/>
          <w:sz w:val="21"/>
        </w:rPr>
        <w:t>• Dataset Dependencies: The pipeline relies on static tabular feature vectors rather than raw PCAP packet stream ingestion.</w:t>
      </w:r>
    </w:p>
    <w:p>
      <w:pPr>
        <w:spacing w:before="0" w:after="120" w:line="276" w:lineRule="auto"/>
      </w:pPr>
      <w:r>
        <w:rPr>
          <w:rFonts w:ascii="Arial" w:hAnsi="Arial"/>
          <w:b w:val="0"/>
          <w:i w:val="0"/>
          <w:color w:val="2D3748"/>
          <w:sz w:val="21"/>
        </w:rPr>
        <w:t>• Feature Extraction Overhead: Converting live raw traffic into structural feature representations in real-time introduces processing latency.</w:t>
      </w:r>
    </w:p>
    <w:p>
      <w:pPr>
        <w:spacing w:before="0" w:after="120" w:line="276" w:lineRule="auto"/>
      </w:pPr>
      <w:r>
        <w:rPr>
          <w:rFonts w:ascii="Arial" w:hAnsi="Arial"/>
          <w:b w:val="0"/>
          <w:i w:val="0"/>
          <w:color w:val="2D3748"/>
          <w:sz w:val="21"/>
        </w:rPr>
        <w:t>• Concept Drift: The static trained model lacks online learning mechanisms to adapt automatically to evolving attack strategies over time.</w:t>
      </w:r>
    </w:p>
    <w:p>
      <w:pPr>
        <w:spacing w:before="0" w:after="120" w:line="276" w:lineRule="auto"/>
      </w:pPr>
      <w:r>
        <w:rPr>
          <w:rFonts w:ascii="Arial" w:hAnsi="Arial"/>
          <w:b w:val="0"/>
          <w:i w:val="0"/>
          <w:color w:val="2D3748"/>
          <w:sz w:val="21"/>
        </w:rPr>
        <w:t>• Synthetic Data Bias: Metrics obtained from synthetic or pre-cleaned subsets do not guarantee identical performance on uncurated live production networks.</w:t>
      </w:r>
    </w:p>
    <w:p>
      <w:pPr>
        <w:keepNext/>
        <w:spacing w:before="320" w:after="120"/>
      </w:pPr>
      <w:r>
        <w:rPr>
          <w:rFonts w:ascii="Arial" w:hAnsi="Arial"/>
          <w:b/>
          <w:i w:val="0"/>
          <w:color w:val="1B365D"/>
          <w:sz w:val="26"/>
        </w:rPr>
        <w:t>11. Future Work</w:t>
      </w:r>
    </w:p>
    <w:p>
      <w:pPr>
        <w:spacing w:before="0" w:after="120" w:line="276" w:lineRule="auto"/>
      </w:pPr>
      <w:r>
        <w:rPr>
          <w:rFonts w:ascii="Arial" w:hAnsi="Arial"/>
          <w:b w:val="0"/>
          <w:i w:val="0"/>
          <w:color w:val="2D3748"/>
          <w:sz w:val="21"/>
        </w:rPr>
        <w:t>1. Real-time Packet Capture Integration: Connect the backend directly to live packet capture drivers (e.g., scapy or PyShark).</w:t>
      </w:r>
    </w:p>
    <w:p>
      <w:pPr>
        <w:spacing w:before="0" w:after="120" w:line="276" w:lineRule="auto"/>
      </w:pPr>
      <w:r>
        <w:rPr>
          <w:rFonts w:ascii="Arial" w:hAnsi="Arial"/>
          <w:b w:val="0"/>
          <w:i w:val="0"/>
          <w:color w:val="2D3748"/>
          <w:sz w:val="21"/>
        </w:rPr>
        <w:t>2. Deep Learning Architectures: Implement LSTM or Autoencoder models for temporal sequence anomaly detection.</w:t>
      </w:r>
    </w:p>
    <w:p>
      <w:pPr>
        <w:spacing w:before="0" w:after="120" w:line="276" w:lineRule="auto"/>
      </w:pPr>
      <w:r>
        <w:rPr>
          <w:rFonts w:ascii="Arial" w:hAnsi="Arial"/>
          <w:b w:val="0"/>
          <w:i w:val="0"/>
          <w:color w:val="2D3748"/>
          <w:sz w:val="21"/>
        </w:rPr>
        <w:t>3. Continuous Online Learning: Introduce feedback loops to update model weights incrementally against continuous network flow streams.</w:t>
      </w:r>
    </w:p>
    <w:p>
      <w:pPr>
        <w:spacing w:before="0" w:after="120" w:line="276" w:lineRule="auto"/>
      </w:pPr>
      <w:r>
        <w:rPr>
          <w:rFonts w:ascii="Arial" w:hAnsi="Arial"/>
          <w:b w:val="0"/>
          <w:i w:val="0"/>
          <w:color w:val="2D3748"/>
          <w:sz w:val="21"/>
        </w:rPr>
        <w:t>4. Explainable AI (XAI): Integrate SHAP (SHapley Additive exPlanations) or LIME to provide security analysts with feature-level justifications for every flag raised.</w:t>
      </w:r>
    </w:p>
    <w:p>
      <w:pPr>
        <w:keepNext/>
        <w:spacing w:before="320" w:after="120"/>
      </w:pPr>
      <w:r>
        <w:rPr>
          <w:rFonts w:ascii="Arial" w:hAnsi="Arial"/>
          <w:b/>
          <w:i w:val="0"/>
          <w:color w:val="1B365D"/>
          <w:sz w:val="26"/>
        </w:rPr>
        <w:t>12. Conclusion</w:t>
      </w:r>
    </w:p>
    <w:p>
      <w:pPr>
        <w:spacing w:before="0" w:after="120" w:line="276" w:lineRule="auto"/>
      </w:pPr>
      <w:r>
        <w:rPr>
          <w:rFonts w:ascii="Arial" w:hAnsi="Arial"/>
          <w:b w:val="0"/>
          <w:i w:val="0"/>
          <w:color w:val="2D3748"/>
          <w:sz w:val="21"/>
        </w:rPr>
        <w:t>This project successfully demonstrates an end-to-end Machine Learning-based Network Intrusion Detection System. By evaluating Random Forest and Gradient Boosting algorithms, the system achieved multi-class threat classification capabilities. Furthermore, wrapping the trained pipeline inside a functional REST API addresses the practical software engineering requirement of real-time model accessibility. Although the 100% accuracy achieved in evaluation reflects ideal laboratory conditions, the framework provides a solid foundation for future real-time operational deployment.</w:t>
      </w:r>
    </w:p>
    <w:p>
      <w:pPr>
        <w:keepNext/>
        <w:spacing w:before="320" w:after="120"/>
      </w:pPr>
      <w:r>
        <w:rPr>
          <w:rFonts w:ascii="Arial" w:hAnsi="Arial"/>
          <w:b/>
          <w:i w:val="0"/>
          <w:color w:val="1B365D"/>
          <w:sz w:val="26"/>
        </w:rPr>
        <w:t>References</w:t>
      </w:r>
    </w:p>
    <w:p>
      <w:pPr>
        <w:spacing w:before="0" w:after="120" w:line="276" w:lineRule="auto"/>
      </w:pPr>
      <w:r>
        <w:rPr>
          <w:rFonts w:ascii="Arial" w:hAnsi="Arial"/>
          <w:b w:val="0"/>
          <w:i w:val="0"/>
          <w:color w:val="2D3748"/>
          <w:sz w:val="21"/>
        </w:rPr>
        <w:t>1. Tavallaee, M., Bagheri, E., Lu, W., &amp; Ghorbani, A. A. (2009). A detailed analysis of the KDD CUP 99 data set. IEEE Symposium on Computational Intelligence for Security and Defense Applications (CISDA), 1-6.</w:t>
      </w:r>
    </w:p>
    <w:p>
      <w:pPr>
        <w:spacing w:before="0" w:after="120" w:line="276" w:lineRule="auto"/>
      </w:pPr>
      <w:r>
        <w:rPr>
          <w:rFonts w:ascii="Arial" w:hAnsi="Arial"/>
          <w:b w:val="0"/>
          <w:i w:val="0"/>
          <w:color w:val="2D3748"/>
          <w:sz w:val="21"/>
        </w:rPr>
        <w:t>2. Resende, P. A., &amp; Drummond, A. C. (2018). A survey of random forest algorithms in intrusion detection systems. ACM Computing Surveys (CSUR), 51(3), 1-36.</w:t>
      </w:r>
    </w:p>
    <w:p>
      <w:pPr>
        <w:spacing w:before="0" w:after="120" w:line="276" w:lineRule="auto"/>
      </w:pPr>
      <w:r>
        <w:rPr>
          <w:rFonts w:ascii="Arial" w:hAnsi="Arial"/>
          <w:b w:val="0"/>
          <w:i w:val="0"/>
          <w:color w:val="2D3748"/>
          <w:sz w:val="21"/>
        </w:rPr>
        <w:t>3. Salo, F., Injadat, M., Nassif, A. B., Shami, A., &amp; Essex, A. (2019). Data mining techniques in intrusion detection systems: A systematic review. IEEE Access, 7, 56044-56058.</w:t>
      </w:r>
    </w:p>
    <w:p>
      <w:pPr>
        <w:spacing w:before="0" w:after="120" w:line="276" w:lineRule="auto"/>
      </w:pPr>
      <w:r>
        <w:rPr>
          <w:rFonts w:ascii="Arial" w:hAnsi="Arial"/>
          <w:b w:val="0"/>
          <w:i w:val="0"/>
          <w:color w:val="2D3748"/>
          <w:sz w:val="21"/>
        </w:rPr>
        <w:t>4. Ahmad, I., Basheri, M., Iqbal, A., &amp; Rahim, A. (2021). Performance comparison of support vector machine, random forest, and extreme gradient boosting for intrusion detection. IEEE Access, 9, 16589-16599.</w:t>
      </w:r>
    </w:p>
    <w:p>
      <w:pPr>
        <w:spacing w:before="0" w:after="120" w:line="276" w:lineRule="auto"/>
      </w:pPr>
      <w:r>
        <w:rPr>
          <w:rFonts w:ascii="Arial" w:hAnsi="Arial"/>
          <w:b w:val="0"/>
          <w:i w:val="0"/>
          <w:color w:val="2D3748"/>
          <w:sz w:val="21"/>
        </w:rPr>
        <w:t>5. Scikit-Learn Documentation. (2023). Ensemble methods: Random Forests and Gradient Boosted Trees. Scikit-Learn Developers.</w:t>
      </w:r>
    </w:p>
    <w:p>
      <w:pPr>
        <w:keepNext/>
        <w:spacing w:before="320" w:after="120"/>
      </w:pPr>
      <w:r>
        <w:rPr>
          <w:rFonts w:ascii="Arial" w:hAnsi="Arial"/>
          <w:b/>
          <w:i w:val="0"/>
          <w:color w:val="1B365D"/>
          <w:sz w:val="26"/>
        </w:rPr>
        <w:t>How My Project Contributes to This Research</w:t>
      </w:r>
    </w:p>
    <w:p>
      <w:pPr>
        <w:spacing w:before="0" w:after="120" w:line="276" w:lineRule="auto"/>
      </w:pPr>
      <w:r>
        <w:rPr>
          <w:rFonts w:ascii="Arial" w:hAnsi="Arial"/>
          <w:b w:val="0"/>
          <w:i w:val="0"/>
          <w:color w:val="2D3748"/>
          <w:sz w:val="21"/>
        </w:rPr>
        <w:t>The project developed in the GitHub repository (cyberAbubakr/Network-Intrusion-Detection-System-NIDS-) serves as the practical, software implementation basis for this research paper:</w:t>
      </w:r>
    </w:p>
    <w:p>
      <w:pPr>
        <w:spacing w:before="0" w:after="120" w:line="276" w:lineRule="auto"/>
      </w:pPr>
      <w:r>
        <w:rPr>
          <w:rFonts w:ascii="Arial" w:hAnsi="Arial"/>
          <w:b w:val="0"/>
          <w:i w:val="0"/>
          <w:color w:val="2D3748"/>
          <w:sz w:val="21"/>
        </w:rPr>
        <w:t>1. Algorithmic Validation: Provides concrete implementations of multi-class classification using Random Forest and Gradient Boosting.</w:t>
      </w:r>
    </w:p>
    <w:p>
      <w:pPr>
        <w:spacing w:before="0" w:after="120" w:line="276" w:lineRule="auto"/>
      </w:pPr>
      <w:r>
        <w:rPr>
          <w:rFonts w:ascii="Arial" w:hAnsi="Arial"/>
          <w:b w:val="0"/>
          <w:i w:val="0"/>
          <w:color w:val="2D3748"/>
          <w:sz w:val="21"/>
        </w:rPr>
        <w:t>2. End-to-End Pipeline: Demonstrates the complete flow from raw feature data cleaning and transformation to prediction generation.</w:t>
      </w:r>
    </w:p>
    <w:p>
      <w:pPr>
        <w:spacing w:before="0" w:after="120" w:line="276" w:lineRule="auto"/>
      </w:pPr>
      <w:r>
        <w:rPr>
          <w:rFonts w:ascii="Arial" w:hAnsi="Arial"/>
          <w:b w:val="0"/>
          <w:i w:val="0"/>
          <w:color w:val="2D3748"/>
          <w:sz w:val="21"/>
        </w:rPr>
        <w:t>3. Operational Bridge: Bridges theoretical machine learning with software engineering by encapsulating the trained models behind a functional backend REST API for real-time threat inference.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