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odttf" ContentType="application/vnd.openxmlformats-officedocument.obfuscatedFont"/>
  <ns0:Override PartName="/docProps/custom.xml" ContentType="application/vnd.openxmlformats-officedocument.custom-propertie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GirumoCustomProps" Type="http://schemas.openxmlformats.org/officeDocument/2006/relationships/custom-properties" Target="docProps/custom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pStyle w:val="GirumoKicker"/>
        <w:jc w:val="center"/>
      </w:pPr>
      <w:r>
        <w:t>PROPOSTA COMERCIAL · {{data}}</w:t>
      </w:r>
    </w:p>
    <w:p>
      <w:pPr>
        <w:spacing w:before="60" w:after="440"/>
        <w:jc w:val="center"/>
      </w:pPr>
      <w:r>
        <w:drawing>
          <wp:inline xmlns:a="http://schemas.openxmlformats.org/drawingml/2006/main" xmlns:pic="http://schemas.openxmlformats.org/drawingml/2006/picture">
            <wp:extent cx="2971800" cy="742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rumo-email-lockup-640x160.png" descr="Logotipo horizontal Girum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4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irumoCoverTitle"/>
      </w:pPr>
      <w:r>
        <w:t>Operação de grupos que gira para vender</w:t>
      </w:r>
    </w:p>
    <w:p>
      <w:pPr>
        <w:pStyle w:val="Subtitle"/>
      </w:pPr>
      <w:r>
        <w:t>Mais grupos lotados. Menos trabalho. Mais vendas.</w:t>
      </w:r>
    </w:p>
    <w:p>
      <w:pPr>
        <w:pStyle w:val="GirumoLead"/>
        <w:spacing w:after="400"/>
        <w:jc w:val="center"/>
      </w:pPr>
      <w:r>
        <w:t>Proposta preparada para {{empresa}}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0"/>
          <w:left w:val="single" w:sz="6" w:space="0" w:color="CAD2D0"/>
          <w:bottom w:val="single" w:sz="6" w:space="0" w:color="CAD2D0"/>
          <w:right w:val="single" w:sz="6" w:space="0" w:color="CAD2D0"/>
          <w:insideH w:val="single" w:sz="6" w:space="0" w:color="CAD2D0"/>
          <w:insideV w:val="single" w:sz="6" w:space="0" w:color="CAD2D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Label"/>
              <w:jc w:val="left"/>
            </w:pPr>
            <w:r>
              <w:t>EMPRESA</w:t>
            </w:r>
          </w:p>
          <w:p>
            <w:pPr>
              <w:pStyle w:val="GirumoTableBody"/>
              <w:jc w:val="left"/>
            </w:pPr>
            <w:r>
              <w:t>{{empresa}}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Label"/>
              <w:jc w:val="left"/>
            </w:pPr>
            <w:r>
              <w:t>PLANO</w:t>
            </w:r>
          </w:p>
          <w:p>
            <w:pPr>
              <w:pStyle w:val="GirumoTableBody"/>
              <w:jc w:val="left"/>
            </w:pPr>
            <w:r>
              <w:t>{{plano}}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Label"/>
              <w:jc w:val="left"/>
            </w:pPr>
            <w:r>
              <w:t>RESPONSÁVEL</w:t>
            </w:r>
          </w:p>
          <w:p>
            <w:pPr>
              <w:pStyle w:val="GirumoTableBody"/>
              <w:jc w:val="left"/>
            </w:pPr>
            <w:r>
              <w:t>{{responsavel}}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Label"/>
              <w:jc w:val="left"/>
            </w:pPr>
            <w:r>
              <w:t>INVESTIMENTO</w:t>
            </w:r>
          </w:p>
          <w:p>
            <w:pPr>
              <w:pStyle w:val="GirumoTableBody"/>
              <w:jc w:val="left"/>
            </w:pPr>
            <w:r>
              <w:t>{{investimento}}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Label"/>
              <w:jc w:val="left"/>
            </w:pPr>
            <w:r>
              <w:t>DATA</w:t>
            </w:r>
          </w:p>
          <w:p>
            <w:pPr>
              <w:pStyle w:val="GirumoTableBody"/>
              <w:jc w:val="left"/>
            </w:pPr>
            <w:r>
              <w:t>{{data}}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Label"/>
              <w:jc w:val="left"/>
            </w:pPr>
            <w:r>
              <w:t>VALIDADE</w:t>
            </w:r>
          </w:p>
          <w:p>
            <w:pPr>
              <w:pStyle w:val="GirumoTableBody"/>
              <w:jc w:val="left"/>
            </w:pPr>
            <w:r>
              <w:t>{{validade}}</w:t>
            </w:r>
          </w:p>
        </w:tc>
      </w:tr>
    </w:tbl>
    <w:p>
      <w:pPr>
        <w:pStyle w:val="GirumoMonoLabel"/>
        <w:spacing w:before="360"/>
        <w:jc w:val="center"/>
      </w:pPr>
      <w:r>
        <w:t>Seus grupos rodando. Você vendendo.</w:t>
      </w:r>
    </w:p>
    <w:p>
      <w:r>
        <w:br w:type="page"/>
      </w:r>
    </w:p>
    <w:p>
      <w:pPr>
        <w:pStyle w:val="GirumoKicker"/>
      </w:pPr>
      <w:r>
        <w:t>02 / 07 · CONTEXTO E OBJETIVOS</w:t>
      </w:r>
    </w:p>
    <w:p>
      <w:pPr>
        <w:pStyle w:val="GirumoPageTitle"/>
      </w:pPr>
      <w:r>
        <w:t>O ponto de partida é a operação real.</w:t>
      </w:r>
    </w:p>
    <w:p>
      <w:pPr>
        <w:pStyle w:val="GirumoLead"/>
      </w:pPr>
      <w:r>
        <w:t>Esta proposta abre uma conversa de mapeamento para conectar a rotina de {{empresa}} aos módulos e à cadência da Girumo.</w:t>
      </w:r>
    </w:p>
    <w:p>
      <w:pPr/>
      <w:r>
        <w:t>O objetivo é transformar um fluxo fragmentado em uma jornada legível: captar pessoas, direcioná-las ao grupo certo, preparar campanhas, organizar a agenda e acompanhar resultados. O desenho final depende das prioridades, responsáveis e canais validados no diagnóstico.</w:t>
      </w:r>
    </w:p>
    <w:p>
      <w:pPr>
        <w:pStyle w:val="Heading2"/>
      </w:pPr>
      <w:r>
        <w:t>Objetivos do trabalho</w:t>
      </w:r>
    </w:p>
    <w:p>
      <w:pPr>
        <w:pStyle w:val="GirumoListBullet"/>
        <w:numPr>
          <w:ilvl w:val="0"/>
          <w:numId w:val="1001"/>
        </w:numPr>
      </w:pPr>
      <w:r>
        <w:t>Mapear a rotina atual de captação, grupos, campanhas e acompanhamento.</w:t>
      </w:r>
    </w:p>
    <w:p>
      <w:pPr>
        <w:pStyle w:val="GirumoListBullet"/>
        <w:numPr>
          <w:ilvl w:val="0"/>
          <w:numId w:val="1001"/>
        </w:numPr>
      </w:pPr>
      <w:r>
        <w:t>Definir onde a equipe precisa de menos troca manual e mais clareza operacional.</w:t>
      </w:r>
    </w:p>
    <w:p>
      <w:pPr>
        <w:pStyle w:val="GirumoListBullet"/>
        <w:numPr>
          <w:ilvl w:val="0"/>
          <w:numId w:val="1001"/>
        </w:numPr>
      </w:pPr>
      <w:r>
        <w:t>Priorizar os módulos e os canais adequados ao plano {{plano}}.</w:t>
      </w:r>
    </w:p>
    <w:p>
      <w:pPr>
        <w:pStyle w:val="GirumoListBullet"/>
        <w:numPr>
          <w:ilvl w:val="0"/>
          <w:numId w:val="1001"/>
        </w:numPr>
      </w:pPr>
      <w:r>
        <w:t>Estabelecer responsáveis, cadência de implantação e critérios de aceite.</w:t>
      </w:r>
    </w:p>
    <w:p>
      <w:pPr>
        <w:pStyle w:val="GirumoTableBody"/>
        <w:keepLines/>
        <w:spacing w:before="120" w:after="200" w:line="283" w:lineRule="auto"/>
        <w:ind w:left="230" w:right="230"/>
        <w:shd w:val="clear" w:color="auto" w:fill="F4F0E7"/>
        <w:pBdr>
          <w:left w:val="single" w:sz="22" w:space="8" w:color="A7FF2F"/>
        </w:pBdr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>DECISÃO BUSCADA</w:t>
        <w:br/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Confirmar se a Girumo deve avançar para o mapeamento detalhado da operação de {{empresa}} e para a definição do escopo final.</w:t>
      </w:r>
    </w:p>
    <w:p>
      <w:r>
        <w:br w:type="page"/>
      </w:r>
    </w:p>
    <w:p>
      <w:pPr>
        <w:pStyle w:val="GirumoKicker"/>
      </w:pPr>
      <w:r>
        <w:t>03 / 07 · PROBLEMA OPERACIONAL</w:t>
      </w:r>
    </w:p>
    <w:p>
      <w:pPr>
        <w:pStyle w:val="GirumoPageTitle"/>
      </w:pPr>
      <w:r>
        <w:t>O atrito mora entre as etapas.</w:t>
      </w:r>
    </w:p>
    <w:p>
      <w:pPr>
        <w:pStyle w:val="GirumoLead"/>
      </w:pPr>
      <w:r>
        <w:t>Quando a rotina depende de ações dispersas, a equipe perde contexto entre cadastro, entrada no grupo, comunicação, agenda e leitura do que aconteceu.</w:t>
      </w:r>
    </w:p>
    <w:p>
      <w:pPr>
        <w:pStyle w:val="GirumoTableBody"/>
        <w:keepLines/>
        <w:spacing w:before="120" w:after="200" w:line="283" w:lineRule="auto"/>
        <w:ind w:left="230" w:right="230"/>
        <w:shd w:val="clear" w:color="auto" w:fill="F4F0E7"/>
        <w:pBdr>
          <w:left w:val="single" w:sz="22" w:space="8" w:color="A7FF2F"/>
        </w:pBdr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>HIPÓTESES DE DIAGNÓSTICO — VALIDAR COM {{empresa}}</w:t>
        <w:br/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Os pontos abaixo são perguntas de trabalho, não afirmações sobre a operação da empresa.</w:t>
      </w:r>
    </w:p>
    <w:p>
      <w:pPr>
        <w:pStyle w:val="GirumoListBullet"/>
        <w:numPr>
          <w:ilvl w:val="0"/>
          <w:numId w:val="1001"/>
        </w:numPr>
      </w:pPr>
      <w:r>
        <w:t>Cadastros e origens de campanha estão fáceis de localizar?</w:t>
      </w:r>
    </w:p>
    <w:p>
      <w:pPr>
        <w:pStyle w:val="GirumoListBullet"/>
        <w:numPr>
          <w:ilvl w:val="0"/>
          <w:numId w:val="1001"/>
        </w:numPr>
      </w:pPr>
      <w:r>
        <w:t>A passagem de pessoas para o grupo certo segue uma regra clara?</w:t>
      </w:r>
    </w:p>
    <w:p>
      <w:pPr>
        <w:pStyle w:val="GirumoListBullet"/>
        <w:numPr>
          <w:ilvl w:val="0"/>
          <w:numId w:val="1001"/>
        </w:numPr>
      </w:pPr>
      <w:r>
        <w:t>Ofertas, mensagens e horários ficam visíveis para toda a equipe?</w:t>
      </w:r>
    </w:p>
    <w:p>
      <w:pPr>
        <w:pStyle w:val="GirumoListBullet"/>
        <w:numPr>
          <w:ilvl w:val="0"/>
          <w:numId w:val="1001"/>
        </w:numPr>
      </w:pPr>
      <w:r>
        <w:t>O acompanhamento conecta captação, entrada, campanha e venda?</w:t>
      </w:r>
    </w:p>
    <w:p>
      <w:pPr>
        <w:pStyle w:val="Heading2"/>
      </w:pPr>
      <w:r>
        <w:t>O efeito que queremos evitar</w:t>
      </w:r>
    </w:p>
    <w:p>
      <w:pPr/>
      <w:r>
        <w:t>Sem um fluxo compartilhado, cada nova campanha exige reconstruir contexto. A proposta da Girumo é tornar o caminho operacional explícito para que a equipe saiba o que acontece agora, o que vem depois e quem responde por cada etapa.</w:t>
      </w:r>
    </w:p>
    <w:p>
      <w:r>
        <w:br w:type="page"/>
      </w:r>
    </w:p>
    <w:p>
      <w:pPr>
        <w:pStyle w:val="GirumoKicker"/>
      </w:pPr>
      <w:r>
        <w:t>04 / 07 · SOLUÇÃO GIRUMO E FLUXO</w:t>
      </w:r>
    </w:p>
    <w:p>
      <w:pPr>
        <w:pStyle w:val="GirumoPageTitle"/>
      </w:pPr>
      <w:r>
        <w:t>Uma jornada contínua, do cadastro à venda.</w:t>
      </w:r>
    </w:p>
    <w:p>
      <w:pPr>
        <w:pStyle w:val="GirumoLead"/>
      </w:pPr>
      <w:r>
        <w:t>A Girumo organiza a rotina em uma sequência simples, ajustável ao fluxo e aos canais definidos no mapeamento.</w:t>
      </w:r>
    </w:p>
    <w:p>
      <w:pPr>
        <w:pStyle w:val="GirumoListNumber"/>
        <w:numPr>
          <w:ilvl w:val="0"/>
          <w:numId w:val="1002"/>
        </w:numPr>
      </w:pPr>
      <w:r>
        <w:t>Captar — criar a porta de entrada da oferta e registrar a origem.</w:t>
      </w:r>
    </w:p>
    <w:p>
      <w:pPr>
        <w:pStyle w:val="GirumoListNumber"/>
        <w:numPr>
          <w:ilvl w:val="0"/>
          <w:numId w:val="1002"/>
        </w:numPr>
      </w:pPr>
      <w:r>
        <w:t>Direcionar — levar cada pessoa ao grupo certo e organizar a passagem quando necessário.</w:t>
      </w:r>
    </w:p>
    <w:p>
      <w:pPr>
        <w:pStyle w:val="GirumoListNumber"/>
        <w:numPr>
          <w:ilvl w:val="0"/>
          <w:numId w:val="1002"/>
        </w:numPr>
      </w:pPr>
      <w:r>
        <w:t>Preparar — estruturar ofertas e mensagens para a campanha.</w:t>
      </w:r>
    </w:p>
    <w:p>
      <w:pPr>
        <w:pStyle w:val="GirumoListNumber"/>
        <w:numPr>
          <w:ilvl w:val="0"/>
          <w:numId w:val="1002"/>
        </w:numPr>
      </w:pPr>
      <w:r>
        <w:t>Agendar — definir o que será publicado, em qual canal e em que horário.</w:t>
      </w:r>
    </w:p>
    <w:p>
      <w:pPr>
        <w:pStyle w:val="GirumoListNumber"/>
        <w:numPr>
          <w:ilvl w:val="0"/>
          <w:numId w:val="1002"/>
        </w:numPr>
      </w:pPr>
      <w:r>
        <w:t>Acompanhar — ler o caminho da captação até a venda e identificar ajustes.</w:t>
      </w:r>
    </w:p>
    <w:p>
      <w:pPr>
        <w:pStyle w:val="GirumoTableBody"/>
        <w:keepLines/>
        <w:spacing w:before="120" w:after="200" w:line="283" w:lineRule="auto"/>
        <w:ind w:left="230" w:right="230"/>
        <w:shd w:val="clear" w:color="auto" w:fill="F4F0E7"/>
        <w:pBdr>
          <w:left w:val="single" w:sz="22" w:space="8" w:color="A7FF2F"/>
        </w:pBdr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>PRINCÍPIO DE IMPLANTAÇÃO</w:t>
        <w:br/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Validar um fluxo completo antes de ampliar volume, canais ou complexidade. O cronograma final será confirmado com {{responsavel}}.</w:t>
      </w:r>
    </w:p>
    <w:p>
      <w:r>
        <w:br w:type="page"/>
      </w:r>
    </w:p>
    <w:p>
      <w:pPr>
        <w:pStyle w:val="GirumoKicker"/>
      </w:pPr>
      <w:r>
        <w:t>05 / 07 · ESCOPO E MÓDULOS</w:t>
      </w:r>
    </w:p>
    <w:p>
      <w:pPr>
        <w:pStyle w:val="GirumoPageTitle"/>
      </w:pPr>
      <w:r>
        <w:t>Cinco módulos, uma rotina contínua.</w:t>
      </w:r>
    </w:p>
    <w:p>
      <w:pPr>
        <w:pStyle w:val="GirumoLead"/>
      </w:pPr>
      <w:r>
        <w:t>O plano {{plano}} será detalhado a partir do mapa abaixo. A ativação de cada módulo depende do escopo comercial confirmado entre as partes.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0"/>
          <w:left w:val="single" w:sz="6" w:space="0" w:color="CAD2D0"/>
          <w:bottom w:val="single" w:sz="6" w:space="0" w:color="CAD2D0"/>
          <w:right w:val="single" w:sz="6" w:space="0" w:color="CAD2D0"/>
          <w:insideH w:val="single" w:sz="6" w:space="0" w:color="CAD2D0"/>
          <w:insideV w:val="single" w:sz="6" w:space="0" w:color="CAD2D0"/>
        </w:tblBorders>
      </w:tblPr>
      <w:tblGrid>
        <w:gridCol w:w="720"/>
        <w:gridCol w:w="2460"/>
        <w:gridCol w:w="6180"/>
      </w:tblGrid>
      <w:tr>
        <w:tc>
          <w:tcPr>
            <w:tcW w:type="dxa" w:w="7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71923"/>
          </w:tcPr>
          <w:p>
            <w:pPr>
              <w:pStyle w:val="GirumoTableLabel"/>
              <w:jc w:val="center"/>
            </w:pPr>
            <w:r>
              <w:rPr>
                <w:rFonts w:ascii="IBM Plex Mono" w:hAnsi="IBM Plex Mono" w:cs="IBM Plex Mono" w:eastAsia="IBM Plex Mono"/>
                <w:b/>
                <w:color w:val="FFFEFA"/>
                <w:sz w:val="16"/>
                <w:lang w:val="pt-BR" w:eastAsia="pt-BR" w:bidi="pt-BR"/>
              </w:rPr>
              <w:t>Nº</w:t>
            </w:r>
          </w:p>
        </w:tc>
        <w:tc>
          <w:tcPr>
            <w:tcW w:type="dxa" w:w="2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71923"/>
          </w:tcPr>
          <w:p>
            <w:pPr>
              <w:pStyle w:val="GirumoTableLabel"/>
              <w:jc w:val="left"/>
            </w:pPr>
            <w:r>
              <w:rPr>
                <w:rFonts w:ascii="IBM Plex Mono" w:hAnsi="IBM Plex Mono" w:cs="IBM Plex Mono" w:eastAsia="IBM Plex Mono"/>
                <w:b/>
                <w:color w:val="FFFEFA"/>
                <w:sz w:val="16"/>
                <w:lang w:val="pt-BR" w:eastAsia="pt-BR" w:bidi="pt-BR"/>
              </w:rPr>
              <w:t>MÓDULO</w:t>
            </w:r>
          </w:p>
        </w:tc>
        <w:tc>
          <w:tcPr>
            <w:tcW w:type="dxa" w:w="6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71923"/>
          </w:tcPr>
          <w:p>
            <w:pPr>
              <w:pStyle w:val="GirumoTableLabel"/>
              <w:jc w:val="left"/>
            </w:pPr>
            <w:r>
              <w:rPr>
                <w:rFonts w:ascii="IBM Plex Mono" w:hAnsi="IBM Plex Mono" w:cs="IBM Plex Mono" w:eastAsia="IBM Plex Mono"/>
                <w:b/>
                <w:color w:val="FFFEFA"/>
                <w:sz w:val="16"/>
                <w:lang w:val="pt-BR" w:eastAsia="pt-BR" w:bidi="pt-BR"/>
              </w:rPr>
              <w:t>PAPEL NA ROTINA</w:t>
            </w:r>
          </w:p>
        </w:tc>
      </w:tr>
      <w:tr>
        <w:tc>
          <w:tcPr>
            <w:tcW w:type="dxa" w:w="7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center"/>
            </w:pPr>
            <w:r>
              <w:rPr>
                <w:rFonts w:ascii="IBM Plex Mono" w:hAnsi="IBM Plex Mono" w:cs="IBM Plex Mono" w:eastAsia="IBM Plex Mono"/>
                <w:b w:val="0"/>
                <w:color w:val="071923"/>
                <w:sz w:val="18"/>
                <w:lang w:val="pt-BR" w:eastAsia="pt-BR" w:bidi="pt-BR"/>
              </w:rPr>
              <w:t>01</w:t>
            </w:r>
          </w:p>
        </w:tc>
        <w:tc>
          <w:tcPr>
            <w:tcW w:type="dxa" w:w="2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19"/>
                <w:lang w:val="pt-BR" w:eastAsia="pt-BR" w:bidi="pt-BR"/>
              </w:rPr>
              <w:t>Girumo Pages</w:t>
            </w:r>
          </w:p>
        </w:tc>
        <w:tc>
          <w:tcPr>
            <w:tcW w:type="dxa" w:w="6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 w:val="0"/>
                <w:color w:val="071923"/>
                <w:sz w:val="19"/>
                <w:lang w:val="pt-BR" w:eastAsia="pt-BR" w:bidi="pt-BR"/>
              </w:rPr>
              <w:t>Captação e direção para o grupo certo.</w:t>
            </w:r>
          </w:p>
        </w:tc>
      </w:tr>
      <w:tr>
        <w:tc>
          <w:tcPr>
            <w:tcW w:type="dxa" w:w="7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  <w:jc w:val="center"/>
            </w:pPr>
            <w:r>
              <w:rPr>
                <w:rFonts w:ascii="IBM Plex Mono" w:hAnsi="IBM Plex Mono" w:cs="IBM Plex Mono" w:eastAsia="IBM Plex Mono"/>
                <w:b w:val="0"/>
                <w:color w:val="071923"/>
                <w:sz w:val="18"/>
                <w:lang w:val="pt-BR" w:eastAsia="pt-BR" w:bidi="pt-BR"/>
              </w:rPr>
              <w:t>02</w:t>
            </w:r>
          </w:p>
        </w:tc>
        <w:tc>
          <w:tcPr>
            <w:tcW w:type="dxa" w:w="2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19"/>
                <w:lang w:val="pt-BR" w:eastAsia="pt-BR" w:bidi="pt-BR"/>
              </w:rPr>
              <w:t>Girumo Grupos</w:t>
            </w:r>
          </w:p>
        </w:tc>
        <w:tc>
          <w:tcPr>
            <w:tcW w:type="dxa" w:w="6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 w:val="0"/>
                <w:color w:val="071923"/>
                <w:sz w:val="19"/>
                <w:lang w:val="pt-BR" w:eastAsia="pt-BR" w:bidi="pt-BR"/>
              </w:rPr>
              <w:t>Organização da entrada e dos grupos.</w:t>
            </w:r>
          </w:p>
        </w:tc>
      </w:tr>
      <w:tr>
        <w:tc>
          <w:tcPr>
            <w:tcW w:type="dxa" w:w="7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center"/>
            </w:pPr>
            <w:r>
              <w:rPr>
                <w:rFonts w:ascii="IBM Plex Mono" w:hAnsi="IBM Plex Mono" w:cs="IBM Plex Mono" w:eastAsia="IBM Plex Mono"/>
                <w:b w:val="0"/>
                <w:color w:val="071923"/>
                <w:sz w:val="18"/>
                <w:lang w:val="pt-BR" w:eastAsia="pt-BR" w:bidi="pt-BR"/>
              </w:rPr>
              <w:t>03</w:t>
            </w:r>
          </w:p>
        </w:tc>
        <w:tc>
          <w:tcPr>
            <w:tcW w:type="dxa" w:w="2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19"/>
                <w:lang w:val="pt-BR" w:eastAsia="pt-BR" w:bidi="pt-BR"/>
              </w:rPr>
              <w:t>Girumo Campanhas</w:t>
            </w:r>
          </w:p>
        </w:tc>
        <w:tc>
          <w:tcPr>
            <w:tcW w:type="dxa" w:w="6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 w:val="0"/>
                <w:color w:val="071923"/>
                <w:sz w:val="19"/>
                <w:lang w:val="pt-BR" w:eastAsia="pt-BR" w:bidi="pt-BR"/>
              </w:rPr>
              <w:t>Ofertas e mensagens preparadas.</w:t>
            </w:r>
          </w:p>
        </w:tc>
      </w:tr>
      <w:tr>
        <w:tc>
          <w:tcPr>
            <w:tcW w:type="dxa" w:w="7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  <w:jc w:val="center"/>
            </w:pPr>
            <w:r>
              <w:rPr>
                <w:rFonts w:ascii="IBM Plex Mono" w:hAnsi="IBM Plex Mono" w:cs="IBM Plex Mono" w:eastAsia="IBM Plex Mono"/>
                <w:b w:val="0"/>
                <w:color w:val="071923"/>
                <w:sz w:val="18"/>
                <w:lang w:val="pt-BR" w:eastAsia="pt-BR" w:bidi="pt-BR"/>
              </w:rPr>
              <w:t>04</w:t>
            </w:r>
          </w:p>
        </w:tc>
        <w:tc>
          <w:tcPr>
            <w:tcW w:type="dxa" w:w="2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19"/>
                <w:lang w:val="pt-BR" w:eastAsia="pt-BR" w:bidi="pt-BR"/>
              </w:rPr>
              <w:t>Girumo Agenda</w:t>
            </w:r>
          </w:p>
        </w:tc>
        <w:tc>
          <w:tcPr>
            <w:tcW w:type="dxa" w:w="6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 w:val="0"/>
                <w:color w:val="071923"/>
                <w:sz w:val="19"/>
                <w:lang w:val="pt-BR" w:eastAsia="pt-BR" w:bidi="pt-BR"/>
              </w:rPr>
              <w:t>Clareza do que acontece e quando.</w:t>
            </w:r>
          </w:p>
        </w:tc>
      </w:tr>
      <w:tr>
        <w:tc>
          <w:tcPr>
            <w:tcW w:type="dxa" w:w="7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center"/>
            </w:pPr>
            <w:r>
              <w:rPr>
                <w:rFonts w:ascii="IBM Plex Mono" w:hAnsi="IBM Plex Mono" w:cs="IBM Plex Mono" w:eastAsia="IBM Plex Mono"/>
                <w:b w:val="0"/>
                <w:color w:val="071923"/>
                <w:sz w:val="18"/>
                <w:lang w:val="pt-BR" w:eastAsia="pt-BR" w:bidi="pt-BR"/>
              </w:rPr>
              <w:t>05</w:t>
            </w:r>
          </w:p>
        </w:tc>
        <w:tc>
          <w:tcPr>
            <w:tcW w:type="dxa" w:w="2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19"/>
                <w:lang w:val="pt-BR" w:eastAsia="pt-BR" w:bidi="pt-BR"/>
              </w:rPr>
              <w:t>Girumo Resultados</w:t>
            </w:r>
          </w:p>
        </w:tc>
        <w:tc>
          <w:tcPr>
            <w:tcW w:type="dxa" w:w="61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  <w:jc w:val="left"/>
            </w:pPr>
            <w:r>
              <w:rPr>
                <w:rFonts w:ascii="IBM Plex Sans" w:hAnsi="IBM Plex Sans" w:cs="IBM Plex Sans" w:eastAsia="IBM Plex Sans"/>
                <w:b w:val="0"/>
                <w:color w:val="071923"/>
                <w:sz w:val="19"/>
                <w:lang w:val="pt-BR" w:eastAsia="pt-BR" w:bidi="pt-BR"/>
              </w:rPr>
              <w:t>Leitura da captação até a venda.</w:t>
            </w:r>
          </w:p>
        </w:tc>
      </w:tr>
    </w:tbl>
    <w:p>
      <w:pPr>
        <w:pStyle w:val="GirumoSmall"/>
      </w:pPr>
      <w:r>
        <w:t>Itens fora do escopo, dependências e critérios de aceite devem constar no instrumento comercial final.</w:t>
      </w:r>
    </w:p>
    <w:p>
      <w:r>
        <w:br w:type="page"/>
      </w:r>
    </w:p>
    <w:p>
      <w:pPr>
        <w:pStyle w:val="GirumoKicker"/>
      </w:pPr>
      <w:r>
        <w:t>06 / 07 · INVESTIMENTO E CONDIÇÕES</w:t>
      </w:r>
    </w:p>
    <w:p>
      <w:pPr>
        <w:pStyle w:val="GirumoPageTitle"/>
      </w:pPr>
      <w:r>
        <w:t>Uma proposta pronta para ser completada.</w:t>
      </w:r>
    </w:p>
    <w:p>
      <w:pPr>
        <w:pStyle w:val="GirumoLead"/>
      </w:pPr>
      <w:r>
        <w:t>Substitua os campos editáveis abaixo após o mapeamento. O contrato ou instrumento comercial assinado prevalece sobre este resumo.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0"/>
          <w:left w:val="single" w:sz="6" w:space="0" w:color="CAD2D0"/>
          <w:bottom w:val="single" w:sz="6" w:space="0" w:color="CAD2D0"/>
          <w:right w:val="single" w:sz="6" w:space="0" w:color="CAD2D0"/>
          <w:insideH w:val="single" w:sz="6" w:space="0" w:color="CAD2D0"/>
          <w:insideV w:val="single" w:sz="6" w:space="0" w:color="CAD2D0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71923"/>
          </w:tcPr>
          <w:p>
            <w:pPr>
              <w:pStyle w:val="GirumoTableLabel"/>
            </w:pPr>
            <w:r>
              <w:rPr>
                <w:rFonts w:ascii="IBM Plex Mono" w:hAnsi="IBM Plex Mono" w:cs="IBM Plex Mono" w:eastAsia="IBM Plex Mono"/>
                <w:b/>
                <w:color w:val="FFFEFA"/>
                <w:sz w:val="16"/>
                <w:lang w:val="pt-BR" w:eastAsia="pt-BR" w:bidi="pt-BR"/>
              </w:rPr>
              <w:t>PLANO</w:t>
            </w:r>
          </w:p>
        </w:tc>
        <w:tc>
          <w:tcPr>
            <w:tcW w:type="dxa" w:w="6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21"/>
                <w:lang w:val="pt-BR" w:eastAsia="pt-BR" w:bidi="pt-BR"/>
              </w:rPr>
              <w:t>{{plano}}</w:t>
            </w:r>
          </w:p>
        </w:tc>
      </w:tr>
      <w:tr>
        <w:tc>
          <w:tcPr>
            <w:tcW w:type="dxa" w:w="2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71923"/>
          </w:tcPr>
          <w:p>
            <w:pPr>
              <w:pStyle w:val="GirumoTableLabel"/>
            </w:pPr>
            <w:r>
              <w:rPr>
                <w:rFonts w:ascii="IBM Plex Mono" w:hAnsi="IBM Plex Mono" w:cs="IBM Plex Mono" w:eastAsia="IBM Plex Mono"/>
                <w:b/>
                <w:color w:val="FFFEFA"/>
                <w:sz w:val="16"/>
                <w:lang w:val="pt-BR" w:eastAsia="pt-BR" w:bidi="pt-BR"/>
              </w:rPr>
              <w:t>INVESTIMENTO</w:t>
            </w:r>
          </w:p>
        </w:tc>
        <w:tc>
          <w:tcPr>
            <w:tcW w:type="dxa" w:w="6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21"/>
                <w:lang w:val="pt-BR" w:eastAsia="pt-BR" w:bidi="pt-BR"/>
              </w:rPr>
              <w:t>{{investimento}}</w:t>
            </w:r>
          </w:p>
        </w:tc>
      </w:tr>
      <w:tr>
        <w:tc>
          <w:tcPr>
            <w:tcW w:type="dxa" w:w="2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71923"/>
          </w:tcPr>
          <w:p>
            <w:pPr>
              <w:pStyle w:val="GirumoTableLabel"/>
            </w:pPr>
            <w:r>
              <w:rPr>
                <w:rFonts w:ascii="IBM Plex Mono" w:hAnsi="IBM Plex Mono" w:cs="IBM Plex Mono" w:eastAsia="IBM Plex Mono"/>
                <w:b/>
                <w:color w:val="FFFEFA"/>
                <w:sz w:val="16"/>
                <w:lang w:val="pt-BR" w:eastAsia="pt-BR" w:bidi="pt-BR"/>
              </w:rPr>
              <w:t>VALIDADE DA PROPOSTA</w:t>
            </w:r>
          </w:p>
        </w:tc>
        <w:tc>
          <w:tcPr>
            <w:tcW w:type="dxa" w:w="6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0E7"/>
          </w:tcPr>
          <w:p>
            <w:pPr>
              <w:pStyle w:val="GirumoTableBody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21"/>
                <w:lang w:val="pt-BR" w:eastAsia="pt-BR" w:bidi="pt-BR"/>
              </w:rPr>
              <w:t>{{validade}}</w:t>
            </w:r>
          </w:p>
        </w:tc>
      </w:tr>
      <w:tr>
        <w:tc>
          <w:tcPr>
            <w:tcW w:type="dxa" w:w="2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071923"/>
          </w:tcPr>
          <w:p>
            <w:pPr>
              <w:pStyle w:val="GirumoTableLabel"/>
            </w:pPr>
            <w:r>
              <w:rPr>
                <w:rFonts w:ascii="IBM Plex Mono" w:hAnsi="IBM Plex Mono" w:cs="IBM Plex Mono" w:eastAsia="IBM Plex Mono"/>
                <w:b/>
                <w:color w:val="FFFEFA"/>
                <w:sz w:val="16"/>
                <w:lang w:val="pt-BR" w:eastAsia="pt-BR" w:bidi="pt-BR"/>
              </w:rPr>
              <w:t>CONTRATANTE</w:t>
            </w:r>
          </w:p>
        </w:tc>
        <w:tc>
          <w:tcPr>
            <w:tcW w:type="dxa" w:w="6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EFA"/>
          </w:tcPr>
          <w:p>
            <w:pPr>
              <w:pStyle w:val="GirumoTableBody"/>
            </w:pPr>
            <w:r>
              <w:rPr>
                <w:rFonts w:ascii="IBM Plex Sans" w:hAnsi="IBM Plex Sans" w:cs="IBM Plex Sans" w:eastAsia="IBM Plex Sans"/>
                <w:b/>
                <w:color w:val="071923"/>
                <w:sz w:val="21"/>
                <w:lang w:val="pt-BR" w:eastAsia="pt-BR" w:bidi="pt-BR"/>
              </w:rPr>
              <w:t>{{empresa}}</w:t>
            </w:r>
          </w:p>
        </w:tc>
      </w:tr>
    </w:tbl>
    <w:p>
      <w:pPr>
        <w:pStyle w:val="Heading2"/>
      </w:pPr>
      <w:r>
        <w:t>Premissas comerciais</w:t>
      </w:r>
    </w:p>
    <w:p>
      <w:pPr>
        <w:pStyle w:val="GirumoListBullet"/>
        <w:numPr>
          <w:ilvl w:val="0"/>
          <w:numId w:val="1001"/>
        </w:numPr>
      </w:pPr>
      <w:r>
        <w:t>Escopo, responsáveis e cronograma serão confirmados após o mapeamento.</w:t>
      </w:r>
    </w:p>
    <w:p>
      <w:pPr>
        <w:pStyle w:val="GirumoListBullet"/>
        <w:numPr>
          <w:ilvl w:val="0"/>
          <w:numId w:val="1001"/>
        </w:numPr>
      </w:pPr>
      <w:r>
        <w:t>Serviços de terceiros e custos de canais só integram a proposta quando descritos expressamente.</w:t>
      </w:r>
    </w:p>
    <w:p>
      <w:pPr>
        <w:pStyle w:val="GirumoListBullet"/>
        <w:numPr>
          <w:ilvl w:val="0"/>
          <w:numId w:val="1001"/>
        </w:numPr>
      </w:pPr>
      <w:r>
        <w:t>Condições de pagamento, vigência, cancelamento e proteção de dados serão definidas no instrumento final.</w:t>
      </w:r>
    </w:p>
    <w:p>
      <w:pPr>
        <w:pStyle w:val="GirumoTableBody"/>
        <w:keepLines/>
        <w:spacing w:before="120" w:after="200" w:line="283" w:lineRule="auto"/>
        <w:ind w:left="230" w:right="230"/>
        <w:shd w:val="clear" w:color="auto" w:fill="F4F0E7"/>
        <w:pBdr>
          <w:left w:val="single" w:sz="22" w:space="8" w:color="A7FF2F"/>
        </w:pBdr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>CAMPO EDITÁVEL</w:t>
        <w:br/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Data de emissão: {{data}} · Responsável pela validação: {{responsavel}}</w:t>
      </w:r>
    </w:p>
    <w:p>
      <w:r>
        <w:br w:type="page"/>
      </w:r>
    </w:p>
    <w:p>
      <w:pPr>
        <w:pStyle w:val="GirumoKicker"/>
      </w:pPr>
      <w:r>
        <w:t>07 / 07 · PRÓXIMOS PASSOS E CONTATO</w:t>
      </w:r>
    </w:p>
    <w:p>
      <w:pPr>
        <w:pStyle w:val="GirumoPageTitle"/>
      </w:pPr>
      <w:r>
        <w:t>Vamos mapear a operação antes de configurar.</w:t>
      </w:r>
    </w:p>
    <w:p>
      <w:pPr>
        <w:pStyle w:val="GirumoLead"/>
      </w:pPr>
      <w:r>
        <w:t>A próxima decisão é simples: reservar uma conversa para entender o fluxo de {{empresa}} e fechar o escopo adequado.</w:t>
      </w:r>
    </w:p>
    <w:p>
      <w:pPr>
        <w:pStyle w:val="GirumoListNumber"/>
        <w:numPr>
          <w:ilvl w:val="0"/>
          <w:numId w:val="1002"/>
        </w:numPr>
      </w:pPr>
      <w:r>
        <w:t>Agendar a conversa de mapeamento com {{responsavel}}.</w:t>
      </w:r>
    </w:p>
    <w:p>
      <w:pPr>
        <w:pStyle w:val="GirumoListNumber"/>
        <w:numPr>
          <w:ilvl w:val="0"/>
          <w:numId w:val="1002"/>
        </w:numPr>
      </w:pPr>
      <w:r>
        <w:t>Confirmar jornada, módulos, responsáveis, dependências e critérios de aceite.</w:t>
      </w:r>
    </w:p>
    <w:p>
      <w:pPr>
        <w:pStyle w:val="GirumoListNumber"/>
        <w:numPr>
          <w:ilvl w:val="0"/>
          <w:numId w:val="1002"/>
        </w:numPr>
      </w:pPr>
      <w:r>
        <w:t>Formalizar o plano {{plano}}, os termos comerciais e a data de início.</w:t>
      </w:r>
    </w:p>
    <w:p>
      <w:pPr>
        <w:pStyle w:val="GirumoTableBody"/>
        <w:keepLines/>
        <w:spacing w:before="120" w:after="200" w:line="283" w:lineRule="auto"/>
        <w:ind w:left="230" w:right="230"/>
        <w:shd w:val="clear" w:color="auto" w:fill="F4F0E7"/>
        <w:pBdr>
          <w:left w:val="single" w:sz="22" w:space="8" w:color="A7FF2F"/>
        </w:pBdr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>PRÓXIMA AÇÃO SUGERIDA</w:t>
        <w:br/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Escolher uma data para a conversa de mapeamento e compartilhar os responsáveis pela rotina de grupos e campanhas.</w:t>
      </w:r>
    </w:p>
    <w:p>
      <w:pPr>
        <w:pStyle w:val="Heading2"/>
      </w:pPr>
      <w:r>
        <w:t>Contato Girumo</w:t>
      </w:r>
    </w:p>
    <w:p>
      <w:pPr>
        <w:pStyle w:val="GirumoTableBody"/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 xml:space="preserve">SITE  </w:t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{{site}}</w:t>
      </w:r>
    </w:p>
    <w:p>
      <w:pPr>
        <w:pStyle w:val="GirumoTableBody"/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 xml:space="preserve">SUPORTE  </w:t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{{email_suporte}}</w:t>
      </w:r>
    </w:p>
    <w:p>
      <w:pPr>
        <w:pStyle w:val="GirumoTableBody"/>
      </w:pPr>
      <w:r>
        <w:rPr>
          <w:rFonts w:ascii="IBM Plex Mono" w:hAnsi="IBM Plex Mono" w:cs="IBM Plex Mono" w:eastAsia="IBM Plex Mono"/>
          <w:b/>
          <w:color w:val="52636B"/>
          <w:sz w:val="16"/>
          <w:lang w:val="pt-BR" w:eastAsia="pt-BR" w:bidi="pt-BR"/>
        </w:rPr>
        <w:t xml:space="preserve">TELEFONE  </w:t>
      </w:r>
      <w:r>
        <w:rPr>
          <w:rFonts w:ascii="IBM Plex Sans" w:hAnsi="IBM Plex Sans" w:cs="IBM Plex Sans" w:eastAsia="IBM Plex Sans"/>
          <w:color w:val="071923"/>
          <w:sz w:val="21"/>
          <w:lang w:val="pt-BR" w:eastAsia="pt-BR" w:bidi="pt-BR"/>
        </w:rPr>
        <w:t>{{telefone_suporte}}</w:t>
      </w:r>
    </w:p>
    <w:p>
      <w:pPr>
        <w:pStyle w:val="GirumoLead"/>
        <w:spacing w:before="320"/>
      </w:pPr>
      <w:r>
        <w:t>Mais grupos lotados. Menos trabalho. Mais vendas.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ns0:fonts xmlns:ns0="http://schemas.openxmlformats.org/wordprocessingml/2006/main" xmlns:ns1="http://schemas.openxmlformats.org/markup-compatibility/2006" xmlns:ns2="http://schemas.openxmlformats.org/officeDocument/2006/relationships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  <ns0:font ns0:name="Manrope">
    <ns0:family ns0:val="swiss"/>
    <ns0:pitch ns0:val="variable"/>
    <ns0:embedRegular ns2:id="rIdGirumoFont1" ns0:fontKey="{5C5E3A9D-D118-5596-B0C8-8997445F60DA}"/>
    <ns0:embedBold ns2:id="rIdGirumoFont2" ns0:fontKey="{258D615D-8353-5C33-8E36-7EFE3413823D}"/>
  </ns0:font>
  <ns0:font ns0:name="IBM Plex Sans">
    <ns0:family ns0:val="swiss"/>
    <ns0:pitch ns0:val="variable"/>
    <ns0:embedRegular ns2:id="rIdGirumoFont3" ns0:fontKey="{7CDE624B-D36D-5764-8242-B5079999B0B4}"/>
    <ns0:embedBold ns2:id="rIdGirumoFont4" ns0:fontKey="{74C66345-8BE8-5E5B-A02C-55A5CEFCA1E5}"/>
    <ns0:embedItalic ns2:id="rIdGirumoFont5" ns0:fontKey="{E269EEB5-14DD-55EF-BDC6-208D832C0D85}"/>
    <ns0:embedBoldItalic ns2:id="rIdGirumoFont6" ns0:fontKey="{B84C5B5D-2B9B-56AC-881A-196EF2D3A058}"/>
  </ns0:font>
  <ns0:font ns0:name="IBM Plex Mono">
    <ns0:family ns0:val="modern"/>
    <ns0:pitch ns0:val="fixed"/>
    <ns0:embedRegular ns2:id="rIdGirumoFont7" ns0:fontKey="{AF087075-896E-5894-9E64-2C619F84CFAB}"/>
    <ns0:embedBold ns2:id="rIdGirumoFont8" ns0:fontKey="{6EEDD7F6-BEC7-50F9-BBD3-3A7B4F0D269F}"/>
  </ns0:font>
</ns0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IBM Plex Mono" w:hAnsi="IBM Plex Mono" w:cs="IBM Plex Mono" w:eastAsia="IBM Plex Mono"/>
        <w:b/>
        <w:color w:val="52636B"/>
        <w:sz w:val="15"/>
        <w:lang w:val="pt-BR" w:eastAsia="pt-BR" w:bidi="pt-BR"/>
      </w:rPr>
      <w:t>Seus grupos rodando. Você vendendo.</w:t>
    </w:r>
    <w:r>
      <w:tab/>
    </w:r>
    <w:fldSimple w:instr="PAGE" w:dirty="true">
      <w:r>
        <w:rPr>
          <w:rFonts w:ascii="IBM Plex Mono" w:hAnsi="IBM Plex Mono"/>
          <w:sz w:val="15"/>
          <w:color w:val="52636B"/>
        </w:rPr>
        <w:t>1</w:t>
      </w:r>
    </w:fldSimple>
    <w:r>
      <w:rPr>
        <w:rFonts w:ascii="IBM Plex Mono" w:hAnsi="IBM Plex Mono" w:cs="IBM Plex Mono" w:eastAsia="IBM Plex Mono"/>
        <w:color w:val="52636B"/>
        <w:sz w:val="15"/>
        <w:lang w:val="pt-BR" w:eastAsia="pt-BR" w:bidi="pt-BR"/>
      </w:rPr>
      <w:t xml:space="preserve"> / </w:t>
    </w:r>
    <w:fldSimple w:instr="NUMPAGES" w:dirty="true">
      <w:r>
        <w:rPr>
          <w:rFonts w:ascii="IBM Plex Mono" w:hAnsi="IBM Plex Mono"/>
          <w:sz w:val="15"/>
          <w:color w:val="52636B"/>
        </w:rPr>
        <w:t>7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IBM Plex Mono" w:hAnsi="IBM Plex Mono" w:cs="IBM Plex Mono" w:eastAsia="IBM Plex Mono"/>
        <w:b/>
        <w:color w:val="52636B"/>
        <w:sz w:val="15"/>
        <w:lang w:val="pt-BR" w:eastAsia="pt-BR" w:bidi="pt-BR"/>
      </w:rPr>
      <w:t>GIRUMO · PROPOSTA COMERCIAL</w:t>
    </w:r>
    <w:r>
      <w:tab/>
    </w:r>
    <w:r>
      <w:rPr>
        <w:rFonts w:ascii="IBM Plex Mono" w:hAnsi="IBM Plex Mono" w:cs="IBM Plex Mono" w:eastAsia="IBM Plex Mono"/>
        <w:color w:val="52636B"/>
        <w:sz w:val="15"/>
        <w:lang w:val="pt-BR" w:eastAsia="pt-BR" w:bidi="pt-BR"/>
      </w:rPr>
      <w:t>{{empresa}}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1">
    <w:nsid w:val="000003E9"/>
    <w:multiLevelType w:val="singleLevel"/>
    <w:lvl w:ilvl="0">
      <w:start w:val="1"/>
      <w:numFmt w:val="bullet"/>
      <w:lvlText w:val="•"/>
      <w:suff w:val="tab"/>
      <w:pPr>
        <w:tabs>
          <w:tab w:val="num" w:pos="261"/>
        </w:tabs>
        <w:ind w:left="540" w:hanging="279"/>
        <w:spacing w:after="80" w:line="290" w:lineRule="auto"/>
      </w:pPr>
      <w:rPr>
        <w:rFonts w:ascii="IBM Plex Sans" w:hAnsi="IBM Plex Sans"/>
      </w:rPr>
    </w:lvl>
  </w:abstractNum>
  <w:num w:numId="1001">
    <w:abstractNumId w:val="1001"/>
  </w:num>
  <w:abstractNum w:abstractNumId="1002">
    <w:nsid w:val="000003EA"/>
    <w:multiLevelType w:val="singleLevel"/>
    <w:lvl w:ilvl="0">
      <w:start w:val="1"/>
      <w:numFmt w:val="decimal"/>
      <w:lvlText w:val="%1."/>
      <w:suff w:val="tab"/>
      <w:pPr>
        <w:tabs>
          <w:tab w:val="num" w:pos="261"/>
        </w:tabs>
        <w:ind w:left="540" w:hanging="279"/>
        <w:spacing w:after="80" w:line="290" w:lineRule="auto"/>
      </w:pPr>
      <w:rPr>
        <w:rFonts w:ascii="IBM Plex Mono" w:hAnsi="IBM Plex Mono"/>
      </w:rPr>
    </w:lvl>
  </w:abstractNum>
  <w:num w:numId="1002">
    <w:abstractNumId w:val="10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  <w:saveSubset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60" w:lineRule="auto" w:line="320"/>
      <w:jc w:val="both"/>
    </w:pPr>
    <w:rPr>
      <w:rFonts w:ascii="IBM Plex Sans" w:hAnsi="IBM Plex Sans" w:cs="IBM Plex Sans" w:eastAsia="IBM Plex Sans"/>
      <w:b w:val="0"/>
      <w:i w:val="0"/>
      <w:color w:val="0719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  <w:jc w:val="left"/>
    </w:pPr>
    <w:rPr>
      <w:rFonts w:ascii="IBM Plex Mono" w:hAnsi="IBM Plex Mono" w:cs="IBM Plex Mono" w:eastAsia="IBM Plex Mono"/>
      <w:b w:val="0"/>
      <w:i w:val="0"/>
      <w:color w:val="52636B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  <w:jc w:val="left"/>
    </w:pPr>
    <w:rPr>
      <w:rFonts w:ascii="IBM Plex Mono" w:hAnsi="IBM Plex Mono" w:cs="IBM Plex Mono" w:eastAsia="IBM Plex Mono"/>
      <w:b w:val="0"/>
      <w:i w:val="0"/>
      <w:color w:val="52636B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Rule="auto" w:line="252"/>
      <w:jc w:val="left"/>
      <w:outlineLvl w:val="0"/>
    </w:pPr>
    <w:rPr>
      <w:rFonts w:asciiTheme="majorHAnsi" w:eastAsiaTheme="majorEastAsia" w:hAnsiTheme="majorHAnsi" w:cstheme="majorBidi" w:ascii="Manrope" w:hAnsi="Manrope" w:cs="Manrope" w:eastAsia="Manrope"/>
      <w:b/>
      <w:bCs/>
      <w:i w:val="0"/>
      <w:color w:val="0719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Rule="auto" w:line="259"/>
      <w:jc w:val="left"/>
      <w:outlineLvl w:val="1"/>
    </w:pPr>
    <w:rPr>
      <w:rFonts w:asciiTheme="majorHAnsi" w:eastAsiaTheme="majorEastAsia" w:hAnsiTheme="majorHAnsi" w:cstheme="majorBidi" w:ascii="Manrope" w:hAnsi="Manrope" w:cs="Manrope" w:eastAsia="Manrope"/>
      <w:b/>
      <w:bCs/>
      <w:i w:val="0"/>
      <w:color w:val="0719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Rule="auto" w:line="269"/>
      <w:jc w:val="left"/>
      <w:outlineLvl w:val="2"/>
    </w:pPr>
    <w:rPr>
      <w:rFonts w:asciiTheme="majorHAnsi" w:eastAsiaTheme="majorEastAsia" w:hAnsiTheme="majorHAnsi" w:cstheme="majorBidi" w:ascii="IBM Plex Sans" w:hAnsi="IBM Plex Sans" w:cs="IBM Plex Sans" w:eastAsia="IBM Plex Sans"/>
      <w:b/>
      <w:bCs/>
      <w:i w:val="0"/>
      <w:color w:val="07192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Manrope" w:hAnsi="Manrope" w:cs="Manrope" w:eastAsia="Manrope"/>
      <w:b/>
      <w:i w:val="0"/>
      <w:color w:val="0719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 w:lineRule="auto" w:line="269"/>
      <w:jc w:val="center"/>
    </w:pPr>
    <w:rPr>
      <w:rFonts w:asciiTheme="majorHAnsi" w:eastAsiaTheme="majorEastAsia" w:hAnsiTheme="majorHAnsi" w:cstheme="majorBidi" w:ascii="IBM Plex Sans" w:hAnsi="IBM Plex Sans" w:cs="IBM Plex Sans" w:eastAsia="IBM Plex Sans"/>
      <w:b w:val="0"/>
      <w:i w:val="0"/>
      <w:iCs/>
      <w:color w:val="52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irumoCoverTitle">
    <w:name w:val="Girumo Cover Title"/>
    <w:basedOn w:val="Title"/>
    <w:pPr>
      <w:keepNext/>
      <w:widowControl/>
      <w:spacing w:before="0" w:after="140" w:lineRule="auto" w:line="240"/>
      <w:jc w:val="center"/>
    </w:pPr>
    <w:rPr>
      <w:rFonts w:ascii="Manrope" w:hAnsi="Manrope" w:cs="Manrope" w:eastAsia="Manrope"/>
      <w:b/>
      <w:i w:val="0"/>
      <w:color w:val="071923"/>
      <w:sz w:val="60"/>
    </w:rPr>
  </w:style>
  <w:style w:type="paragraph" w:customStyle="1" w:styleId="GirumoPageTitle">
    <w:name w:val="Girumo Page Title"/>
    <w:basedOn w:val="Heading1"/>
    <w:pPr>
      <w:keepNext/>
      <w:widowControl/>
      <w:spacing w:before="0" w:after="240" w:lineRule="auto" w:line="250"/>
      <w:jc w:val="left"/>
    </w:pPr>
    <w:rPr>
      <w:rFonts w:ascii="Manrope" w:hAnsi="Manrope" w:cs="Manrope" w:eastAsia="Manrope"/>
      <w:b/>
      <w:i w:val="0"/>
      <w:color w:val="071923"/>
      <w:sz w:val="48"/>
    </w:rPr>
  </w:style>
  <w:style w:type="paragraph" w:customStyle="1" w:styleId="GirumoKicker">
    <w:name w:val="Girumo Kicker"/>
    <w:basedOn w:val="Normal"/>
    <w:pPr>
      <w:keepNext/>
      <w:widowControl/>
      <w:spacing w:before="0" w:after="160" w:lineRule="auto" w:line="240"/>
      <w:jc w:val="left"/>
    </w:pPr>
    <w:rPr>
      <w:rFonts w:ascii="IBM Plex Mono" w:hAnsi="IBM Plex Mono" w:cs="IBM Plex Mono" w:eastAsia="IBM Plex Mono"/>
      <w:b/>
      <w:i w:val="0"/>
      <w:color w:val="52636B"/>
      <w:sz w:val="17"/>
    </w:rPr>
  </w:style>
  <w:style w:type="paragraph" w:customStyle="1" w:styleId="GirumoLead">
    <w:name w:val="Girumo Lead"/>
    <w:basedOn w:val="Normal"/>
    <w:pPr>
      <w:keepNext w:val="0"/>
      <w:widowControl/>
      <w:spacing w:before="0" w:after="280" w:lineRule="auto" w:line="300"/>
      <w:jc w:val="left"/>
    </w:pPr>
    <w:rPr>
      <w:rFonts w:ascii="IBM Plex Sans" w:hAnsi="IBM Plex Sans" w:cs="IBM Plex Sans" w:eastAsia="IBM Plex Sans"/>
      <w:b w:val="0"/>
      <w:i w:val="0"/>
      <w:color w:val="071923"/>
      <w:sz w:val="26"/>
    </w:rPr>
  </w:style>
  <w:style w:type="paragraph" w:customStyle="1" w:styleId="GirumoSmall">
    <w:name w:val="Girumo Small"/>
    <w:basedOn w:val="Normal"/>
    <w:pPr>
      <w:keepNext w:val="0"/>
      <w:widowControl/>
      <w:spacing w:before="0" w:after="100" w:lineRule="auto" w:line="283"/>
      <w:jc w:val="left"/>
    </w:pPr>
    <w:rPr>
      <w:rFonts w:ascii="IBM Plex Sans" w:hAnsi="IBM Plex Sans" w:cs="IBM Plex Sans" w:eastAsia="IBM Plex Sans"/>
      <w:b w:val="0"/>
      <w:i w:val="0"/>
      <w:color w:val="52636B"/>
      <w:sz w:val="19"/>
    </w:rPr>
  </w:style>
  <w:style w:type="paragraph" w:customStyle="1" w:styleId="GirumoMonoLabel">
    <w:name w:val="Girumo Mono Label"/>
    <w:basedOn w:val="Normal"/>
    <w:pPr>
      <w:keepNext w:val="0"/>
      <w:widowControl/>
      <w:spacing w:before="0" w:after="40" w:lineRule="auto" w:line="240"/>
      <w:jc w:val="left"/>
    </w:pPr>
    <w:rPr>
      <w:rFonts w:ascii="IBM Plex Mono" w:hAnsi="IBM Plex Mono" w:cs="IBM Plex Mono" w:eastAsia="IBM Plex Mono"/>
      <w:b/>
      <w:i w:val="0"/>
      <w:color w:val="52636B"/>
      <w:sz w:val="17"/>
    </w:rPr>
  </w:style>
  <w:style w:type="paragraph" w:customStyle="1" w:styleId="GirumoListBullet">
    <w:name w:val="Girumo List Bullet"/>
    <w:basedOn w:val="Normal"/>
    <w:pPr>
      <w:keepNext w:val="0"/>
      <w:widowControl/>
      <w:spacing w:before="0" w:after="80" w:lineRule="auto" w:line="290"/>
      <w:jc w:val="left"/>
    </w:pPr>
    <w:rPr>
      <w:rFonts w:ascii="IBM Plex Sans" w:hAnsi="IBM Plex Sans" w:cs="IBM Plex Sans" w:eastAsia="IBM Plex Sans"/>
      <w:b w:val="0"/>
      <w:i w:val="0"/>
      <w:color w:val="071923"/>
      <w:sz w:val="22"/>
    </w:rPr>
  </w:style>
  <w:style w:type="paragraph" w:customStyle="1" w:styleId="GirumoListNumber">
    <w:name w:val="Girumo List Number"/>
    <w:basedOn w:val="Normal"/>
    <w:pPr>
      <w:keepNext w:val="0"/>
      <w:widowControl/>
      <w:spacing w:before="0" w:after="80" w:lineRule="auto" w:line="290"/>
      <w:jc w:val="left"/>
    </w:pPr>
    <w:rPr>
      <w:rFonts w:ascii="IBM Plex Sans" w:hAnsi="IBM Plex Sans" w:cs="IBM Plex Sans" w:eastAsia="IBM Plex Sans"/>
      <w:b w:val="0"/>
      <w:i w:val="0"/>
      <w:color w:val="071923"/>
      <w:sz w:val="22"/>
    </w:rPr>
  </w:style>
  <w:style w:type="paragraph" w:customStyle="1" w:styleId="GirumoTableBody">
    <w:name w:val="Girumo Table Body"/>
    <w:basedOn w:val="Normal"/>
    <w:pPr>
      <w:keepNext w:val="0"/>
      <w:widowControl/>
      <w:spacing w:before="0" w:after="0" w:lineRule="auto" w:line="274"/>
      <w:jc w:val="left"/>
    </w:pPr>
    <w:rPr>
      <w:rFonts w:ascii="IBM Plex Sans" w:hAnsi="IBM Plex Sans" w:cs="IBM Plex Sans" w:eastAsia="IBM Plex Sans"/>
      <w:b w:val="0"/>
      <w:i w:val="0"/>
      <w:color w:val="071923"/>
      <w:sz w:val="20"/>
    </w:rPr>
  </w:style>
  <w:style w:type="paragraph" w:customStyle="1" w:styleId="GirumoTableLabel">
    <w:name w:val="Girumo Table Label"/>
    <w:basedOn w:val="GirumoMonoLabel"/>
    <w:pPr>
      <w:keepNext w:val="0"/>
      <w:widowControl/>
      <w:spacing w:before="0" w:after="60" w:lineRule="auto" w:line="240"/>
      <w:jc w:val="left"/>
    </w:pPr>
    <w:rPr>
      <w:rFonts w:ascii="IBM Plex Mono" w:hAnsi="IBM Plex Mono" w:cs="IBM Plex Mono" w:eastAsia="IBM Plex Mono"/>
      <w:b/>
      <w:i w:val="0"/>
      <w:color w:val="5263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?>
<ns0:Relationships xmlns:ns0="http://schemas.openxmlformats.org/package/2006/relationships"><ns0:Relationship Id="rIdGirumoFont1" Type="http://schemas.openxmlformats.org/officeDocument/2006/relationships/font" Target="fonts/manrope-regular.odttf" /><ns0:Relationship Id="rIdGirumoFont2" Type="http://schemas.openxmlformats.org/officeDocument/2006/relationships/font" Target="fonts/manrope-bold.odttf" /><ns0:Relationship Id="rIdGirumoFont3" Type="http://schemas.openxmlformats.org/officeDocument/2006/relationships/font" Target="fonts/ibm-plex-sans-regular.odttf" /><ns0:Relationship Id="rIdGirumoFont4" Type="http://schemas.openxmlformats.org/officeDocument/2006/relationships/font" Target="fonts/ibm-plex-sans-bold.odttf" /><ns0:Relationship Id="rIdGirumoFont5" Type="http://schemas.openxmlformats.org/officeDocument/2006/relationships/font" Target="fonts/ibm-plex-sans-italic.odttf" /><ns0:Relationship Id="rIdGirumoFont6" Type="http://schemas.openxmlformats.org/officeDocument/2006/relationships/font" Target="fonts/ibm-plex-sans-bold-italic.odttf" /><ns0:Relationship Id="rIdGirumoFont7" Type="http://schemas.openxmlformats.org/officeDocument/2006/relationships/font" Target="fonts/ibm-plex-mono-regular.odttf" /><ns0:Relationship Id="rIdGirumoFont8" Type="http://schemas.openxmlformats.org/officeDocument/2006/relationships/font" Target="fonts/ibm-plex-mono-medium.odttf" /></ns0: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Manrope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IBM Plex Sans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TotalTime>0</ns0:TotalTime>
  <ns0:Pages>7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Girumo</dc:title>
  <dc:subject>Template editável de proposta comercial em sete páginas</dc:subject>
  <dc:creator>Girumo</dc:creator>
  <cp:keywords>Girumo, proposta comercial, grupos, campanhas</cp:keywords>
  <dc:description>Preset narrative_proposal; first-page pattern proposal_centerpiece; Girumo brand overrides.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cp:Properties xmlns:cp="http://schemas.openxmlformats.org/officeDocument/2006/custom-properties" xmlns:vt="http://schemas.openxmlformats.org/officeDocument/2006/docPropsVTypes">
  <cp:property fmtid="{D5CDD505-2E9C-101B-9397-08002B2CF9AE}" pid="2" name="DesignPreset">
    <vt:lpwstr>narrative_proposal</vt:lpwstr>
  </cp:property>
  <cp:property fmtid="{D5CDD505-2E9C-101B-9397-08002B2CF9AE}" pid="3" name="FirstPagePattern">
    <vt:lpwstr>proposal_centerpiece</vt:lpwstr>
  </cp:property>
  <cp:property fmtid="{D5CDD505-2E9C-101B-9397-08002B2CF9AE}" pid="4" name="GirumoOverrides">
    <vt:lpwstr>Manrope / IBM Plex Sans / IBM Plex Mono; Volt / Acid / Paper / Canvas</vt:lpwstr>
  </cp:property>
  <cp:property fmtid="{D5CDD505-2E9C-101B-9397-08002B2CF9AE}" pid="5" name="ExpectedPages">
    <vt:lpwstr>7</vt:lpwstr>
  </cp:property>
  <cp:property fmtid="{D5CDD505-2E9C-101B-9397-08002B2CF9AE}" pid="6" name="FontLicense">
    <vt:lpwstr>SIL Open Font License 1.1; full TrueType resources embedded as ECMA-376 obfuscated fonts</vt:lpwstr>
  </cp:property>
</cp:Properties>
</file>