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E591" w14:textId="77777777" w:rsidR="00C40630" w:rsidRPr="00C40630" w:rsidRDefault="00C40630" w:rsidP="00C40630">
      <w:pPr>
        <w:rPr>
          <w:sz w:val="32"/>
          <w:szCs w:val="28"/>
        </w:rPr>
      </w:pPr>
      <w:r w:rsidRPr="00C40630">
        <w:rPr>
          <w:sz w:val="32"/>
          <w:szCs w:val="28"/>
        </w:rPr>
        <w:t>1 USC-</w:t>
      </w:r>
      <w:proofErr w:type="spellStart"/>
      <w:r w:rsidRPr="00C40630">
        <w:rPr>
          <w:sz w:val="32"/>
          <w:szCs w:val="28"/>
        </w:rPr>
        <w:t>ENet</w:t>
      </w:r>
      <w:proofErr w:type="spellEnd"/>
      <w:r w:rsidRPr="00C40630">
        <w:rPr>
          <w:sz w:val="32"/>
          <w:szCs w:val="28"/>
        </w:rPr>
        <w:t>: a high-efficiency model for the diagnosis of liver tumors combining B-mode ultrasound and clinical data:</w:t>
      </w:r>
    </w:p>
    <w:p w14:paraId="6B0AF65E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attention mechanism(</w:t>
      </w:r>
      <w:r>
        <w:rPr>
          <w:rFonts w:hint="eastAsia"/>
        </w:rPr>
        <w:t>相關性</w:t>
      </w:r>
      <w:r>
        <w:rPr>
          <w:rFonts w:hint="eastAsia"/>
        </w:rPr>
        <w:t xml:space="preserve"> </w:t>
      </w:r>
      <w:r>
        <w:rPr>
          <w:rFonts w:hint="eastAsia"/>
        </w:rPr>
        <w:t>每張圖的權重不同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score_CAM</w:t>
      </w:r>
      <w:proofErr w:type="spellEnd"/>
    </w:p>
    <w:p w14:paraId="1E9A5662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PCA</w:t>
      </w:r>
      <w:r>
        <w:rPr>
          <w:rFonts w:hint="eastAsia"/>
        </w:rPr>
        <w:t>對</w:t>
      </w:r>
      <w:r>
        <w:rPr>
          <w:rFonts w:hint="eastAsia"/>
        </w:rPr>
        <w:t>B-mode</w:t>
      </w:r>
      <w:r>
        <w:rPr>
          <w:rFonts w:hint="eastAsia"/>
        </w:rPr>
        <w:t>降維</w:t>
      </w:r>
      <w:r>
        <w:rPr>
          <w:rFonts w:hint="eastAsia"/>
        </w:rPr>
        <w:t xml:space="preserve"> -&gt; random forest</w:t>
      </w:r>
    </w:p>
    <w:p w14:paraId="21F0A62D" w14:textId="0446CB57" w:rsidR="00C40630" w:rsidRDefault="00CD63E5" w:rsidP="00C40630">
      <w:r w:rsidRPr="00CD63E5">
        <w:drawing>
          <wp:inline distT="0" distB="0" distL="0" distR="0" wp14:anchorId="2ECC1DE2" wp14:editId="7364FCE5">
            <wp:extent cx="5274310" cy="1731645"/>
            <wp:effectExtent l="0" t="0" r="2540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7CAF" w14:textId="77777777" w:rsidR="00CD63E5" w:rsidRDefault="00CD63E5" w:rsidP="00C40630">
      <w:pPr>
        <w:rPr>
          <w:rFonts w:hint="eastAsia"/>
        </w:rPr>
      </w:pPr>
    </w:p>
    <w:p w14:paraId="2823C525" w14:textId="77777777" w:rsidR="00C40630" w:rsidRPr="00C40630" w:rsidRDefault="00C40630" w:rsidP="00C40630">
      <w:pPr>
        <w:rPr>
          <w:sz w:val="32"/>
          <w:szCs w:val="28"/>
        </w:rPr>
      </w:pPr>
      <w:r w:rsidRPr="00C40630">
        <w:rPr>
          <w:sz w:val="32"/>
          <w:szCs w:val="28"/>
        </w:rPr>
        <w:t>2 Explainable multimodal deep learning using cross-attention fusion of ultrasound and clinical features for PCOS classification:</w:t>
      </w:r>
    </w:p>
    <w:p w14:paraId="7F4EEA23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CLAHE</w:t>
      </w:r>
      <w:r>
        <w:rPr>
          <w:rFonts w:hint="eastAsia"/>
        </w:rPr>
        <w:t>自適應直方圖均化</w:t>
      </w:r>
      <w:r>
        <w:rPr>
          <w:rFonts w:hint="eastAsia"/>
        </w:rPr>
        <w:t xml:space="preserve">: </w:t>
      </w:r>
      <w:r>
        <w:rPr>
          <w:rFonts w:hint="eastAsia"/>
        </w:rPr>
        <w:t>小區塊直方圖均化</w:t>
      </w:r>
    </w:p>
    <w:p w14:paraId="11794EC8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兩個</w:t>
      </w:r>
      <w:r>
        <w:rPr>
          <w:rFonts w:hint="eastAsia"/>
        </w:rPr>
        <w:t>modal</w:t>
      </w:r>
      <w:r>
        <w:rPr>
          <w:rFonts w:hint="eastAsia"/>
        </w:rPr>
        <w:t>投影到同個維度後，</w:t>
      </w:r>
      <w:r>
        <w:rPr>
          <w:rFonts w:hint="eastAsia"/>
        </w:rPr>
        <w:t>Cross attention fusion:</w:t>
      </w:r>
    </w:p>
    <w:p w14:paraId="75D0111D" w14:textId="77777777" w:rsidR="00C40630" w:rsidRDefault="00C40630" w:rsidP="00C40630">
      <w:proofErr w:type="spellStart"/>
      <w:r>
        <w:t>Qimg</w:t>
      </w:r>
      <w:proofErr w:type="spellEnd"/>
      <w:r>
        <w:t xml:space="preserve"> </w:t>
      </w:r>
      <w:proofErr w:type="spellStart"/>
      <w:r>
        <w:t>Kclinical</w:t>
      </w:r>
      <w:proofErr w:type="spellEnd"/>
      <w:r>
        <w:t xml:space="preserve"> </w:t>
      </w:r>
      <w:proofErr w:type="spellStart"/>
      <w:r>
        <w:t>Vclinical</w:t>
      </w:r>
      <w:proofErr w:type="spellEnd"/>
    </w:p>
    <w:p w14:paraId="4A2D8A28" w14:textId="77777777" w:rsidR="00C40630" w:rsidRDefault="00C40630" w:rsidP="00C40630">
      <w:proofErr w:type="spellStart"/>
      <w:r>
        <w:t>Qclinical</w:t>
      </w:r>
      <w:proofErr w:type="spellEnd"/>
      <w:r>
        <w:t xml:space="preserve"> </w:t>
      </w:r>
      <w:proofErr w:type="spellStart"/>
      <w:r>
        <w:t>Kimg</w:t>
      </w:r>
      <w:proofErr w:type="spellEnd"/>
      <w:r>
        <w:t xml:space="preserve"> </w:t>
      </w:r>
      <w:proofErr w:type="spellStart"/>
      <w:r>
        <w:t>Vimg</w:t>
      </w:r>
      <w:proofErr w:type="spellEnd"/>
    </w:p>
    <w:p w14:paraId="501A0DDA" w14:textId="77777777" w:rsidR="00C40630" w:rsidRDefault="00C40630" w:rsidP="00C40630">
      <w:r>
        <w:t>(Image features to control the choice and enhancement of clinical features)</w:t>
      </w:r>
    </w:p>
    <w:p w14:paraId="12923E90" w14:textId="77777777" w:rsidR="00C40630" w:rsidRDefault="00C40630" w:rsidP="00C40630">
      <w:r>
        <w:t>(Clinical features re-weighting spatial activations in the image domain)</w:t>
      </w:r>
    </w:p>
    <w:p w14:paraId="0F76D00A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那麼論文所說的「重新賦予空間特徵權重」是怎麼在網路中實現的呢？</w:t>
      </w:r>
      <w:r>
        <w:rPr>
          <w:rFonts w:hint="eastAsia"/>
        </w:rPr>
        <w:t xml:space="preserve"> </w:t>
      </w:r>
      <w:r>
        <w:rPr>
          <w:rFonts w:hint="eastAsia"/>
        </w:rPr>
        <w:t>論文明確指出，這個空間上的重新賦權是間接</w:t>
      </w:r>
      <w:r>
        <w:rPr>
          <w:rFonts w:hint="eastAsia"/>
        </w:rPr>
        <w:t xml:space="preserve"> (indirectly) </w:t>
      </w:r>
      <w:r>
        <w:rPr>
          <w:rFonts w:hint="eastAsia"/>
        </w:rPr>
        <w:t>產生的，它發生在後續使用</w:t>
      </w:r>
      <w:r>
        <w:rPr>
          <w:rFonts w:hint="eastAsia"/>
        </w:rPr>
        <w:t xml:space="preserve"> Grad-CAM++ </w:t>
      </w:r>
      <w:r>
        <w:rPr>
          <w:rFonts w:hint="eastAsia"/>
        </w:rPr>
        <w:t>進行視覺化解釋的階段：</w:t>
      </w:r>
    </w:p>
    <w:p w14:paraId="5C17CC2C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模型將融合後的特徵輸出為最終的預測結果</w:t>
      </w:r>
      <w:r>
        <w:rPr>
          <w:rFonts w:hint="eastAsia"/>
        </w:rPr>
        <w:t xml:space="preserve"> (fused classification logit)</w:t>
      </w:r>
      <w:r>
        <w:rPr>
          <w:rFonts w:hint="eastAsia"/>
        </w:rPr>
        <w:t>。</w:t>
      </w:r>
    </w:p>
    <w:p w14:paraId="1800AB33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當使用</w:t>
      </w:r>
      <w:r>
        <w:rPr>
          <w:rFonts w:hint="eastAsia"/>
        </w:rPr>
        <w:t xml:space="preserve"> Grad-CAM++ </w:t>
      </w:r>
      <w:r>
        <w:rPr>
          <w:rFonts w:hint="eastAsia"/>
        </w:rPr>
        <w:t>時，這個包含了「臨床特徵影響力」的最終結果，會進行梯度反向傳播</w:t>
      </w:r>
      <w:r>
        <w:rPr>
          <w:rFonts w:hint="eastAsia"/>
        </w:rPr>
        <w:t xml:space="preserve"> (gradient back-propagation)</w:t>
      </w:r>
      <w:r>
        <w:rPr>
          <w:rFonts w:hint="eastAsia"/>
        </w:rPr>
        <w:t>，一路推回到</w:t>
      </w:r>
      <w:r>
        <w:rPr>
          <w:rFonts w:hint="eastAsia"/>
        </w:rPr>
        <w:t xml:space="preserve"> ResNet50 </w:t>
      </w:r>
      <w:r>
        <w:rPr>
          <w:rFonts w:hint="eastAsia"/>
        </w:rPr>
        <w:t>裡「還保有空間資訊的卷積層</w:t>
      </w:r>
      <w:r>
        <w:rPr>
          <w:rFonts w:hint="eastAsia"/>
        </w:rPr>
        <w:t xml:space="preserve"> (spatial feature maps)</w:t>
      </w:r>
      <w:r>
        <w:rPr>
          <w:rFonts w:hint="eastAsia"/>
        </w:rPr>
        <w:t>」。</w:t>
      </w:r>
    </w:p>
    <w:p w14:paraId="6CB476A0" w14:textId="77777777" w:rsidR="00C40630" w:rsidRDefault="00C40630" w:rsidP="00C4063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因為這個梯度計算已經被臨床特徵給「條件化</w:t>
      </w:r>
      <w:r>
        <w:rPr>
          <w:rFonts w:hint="eastAsia"/>
        </w:rPr>
        <w:t xml:space="preserve"> (clinical-conditioned)</w:t>
      </w:r>
      <w:r>
        <w:rPr>
          <w:rFonts w:hint="eastAsia"/>
        </w:rPr>
        <w:t>」了，所以在超音波影像上，到底哪個空間區域會被判斷為關鍵病灶（亮起暖色調熱力圖），實質上就是受到了臨床特徵的動態調節與重新賦權</w:t>
      </w:r>
    </w:p>
    <w:p w14:paraId="6237D3AE" w14:textId="0E121ED0" w:rsidR="00C40630" w:rsidRDefault="00CE7CC0" w:rsidP="00C40630">
      <w:r w:rsidRPr="00CE7CC0">
        <w:lastRenderedPageBreak/>
        <w:drawing>
          <wp:inline distT="0" distB="0" distL="0" distR="0" wp14:anchorId="6834D49F" wp14:editId="4DCDC768">
            <wp:extent cx="5229955" cy="2943636"/>
            <wp:effectExtent l="0" t="0" r="889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A849" w14:textId="4914485B" w:rsidR="00C40630" w:rsidRDefault="00C40630" w:rsidP="00C40630"/>
    <w:p w14:paraId="0404A57B" w14:textId="77777777" w:rsidR="00C40630" w:rsidRDefault="00C40630" w:rsidP="00C40630"/>
    <w:p w14:paraId="414D128F" w14:textId="77777777" w:rsidR="00C40630" w:rsidRPr="00C40630" w:rsidRDefault="00C40630" w:rsidP="00C40630">
      <w:pPr>
        <w:rPr>
          <w:sz w:val="32"/>
          <w:szCs w:val="28"/>
        </w:rPr>
      </w:pPr>
      <w:r w:rsidRPr="00C40630">
        <w:rPr>
          <w:sz w:val="32"/>
          <w:szCs w:val="28"/>
        </w:rPr>
        <w:t>3 Multiparametric Ultrasound Breast Tumors Diagnosis Within BI-RADS Category 4 via Feature Disentanglement and Cross-Fusion</w:t>
      </w:r>
    </w:p>
    <w:p w14:paraId="28E18DF1" w14:textId="585F2871" w:rsidR="00C40630" w:rsidRDefault="009E60CB" w:rsidP="00C40630">
      <w:r w:rsidRPr="009E60CB">
        <w:t>Semantic Attribute Encoder (SAE)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語意從單一數字</w:t>
      </w:r>
      <w:r>
        <w:rPr>
          <w:rFonts w:hint="eastAsia"/>
        </w:rPr>
        <w:t>(</w:t>
      </w:r>
      <w:r>
        <w:t>0,1,2</w:t>
      </w:r>
      <w:r>
        <w:rPr>
          <w:rFonts w:hint="eastAsia"/>
        </w:rPr>
        <w:t>其中一個</w:t>
      </w:r>
      <w:r>
        <w:rPr>
          <w:rFonts w:hint="eastAsia"/>
        </w:rPr>
        <w:t>)</w:t>
      </w:r>
      <w:r>
        <w:rPr>
          <w:rFonts w:hint="eastAsia"/>
        </w:rPr>
        <w:t>擴張成</w:t>
      </w:r>
      <w:r>
        <w:rPr>
          <w:rFonts w:hint="eastAsia"/>
        </w:rPr>
        <w:t>15</w:t>
      </w:r>
      <w:r>
        <w:rPr>
          <w:rFonts w:hint="eastAsia"/>
        </w:rPr>
        <w:t>維</w:t>
      </w:r>
    </w:p>
    <w:p w14:paraId="559F595B" w14:textId="5388E4A3" w:rsidR="007B01A2" w:rsidRDefault="007B01A2" w:rsidP="00C40630">
      <w:pPr>
        <w:rPr>
          <w:rFonts w:hint="eastAsia"/>
        </w:rPr>
      </w:pPr>
      <w:proofErr w:type="spellStart"/>
      <w:r>
        <w:rPr>
          <w:rFonts w:hint="eastAsia"/>
        </w:rPr>
        <w:t>n</w:t>
      </w:r>
      <w:r>
        <w:t>akagami</w:t>
      </w:r>
      <w:proofErr w:type="spellEnd"/>
      <w:r>
        <w:rPr>
          <w:rFonts w:hint="eastAsia"/>
        </w:rPr>
        <w:t>由</w:t>
      </w:r>
      <w:r>
        <w:rPr>
          <w:rFonts w:hint="eastAsia"/>
        </w:rPr>
        <w:t>b</w:t>
      </w:r>
      <w:r>
        <w:t>-mode</w:t>
      </w:r>
      <w:r>
        <w:rPr>
          <w:rFonts w:hint="eastAsia"/>
        </w:rPr>
        <w:t>計算</w:t>
      </w:r>
    </w:p>
    <w:p w14:paraId="288A9997" w14:textId="77824317" w:rsidR="007B01A2" w:rsidRDefault="007B01A2" w:rsidP="00C40630">
      <w:r w:rsidRPr="007B01A2">
        <w:drawing>
          <wp:inline distT="0" distB="0" distL="0" distR="0" wp14:anchorId="5B54C343" wp14:editId="058B0AA8">
            <wp:extent cx="5274310" cy="203581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49AA" w14:textId="77777777" w:rsidR="007B01A2" w:rsidRDefault="007B01A2" w:rsidP="007B01A2">
      <w:pPr>
        <w:rPr>
          <w:rFonts w:ascii="Google Sans Text" w:hAnsi="Google Sans Text"/>
          <w:color w:val="303030"/>
          <w:shd w:val="clear" w:color="auto" w:fill="EDEFFA"/>
        </w:rPr>
      </w:pPr>
      <w:r>
        <w:rPr>
          <w:rFonts w:ascii="Google Sans Text" w:hAnsi="Google Sans Text"/>
          <w:color w:val="303030"/>
          <w:shd w:val="clear" w:color="auto" w:fill="EDEFFA"/>
        </w:rPr>
        <w:t xml:space="preserve">MCFM </w:t>
      </w:r>
      <w:r>
        <w:rPr>
          <w:rFonts w:ascii="Google Sans Text" w:hAnsi="Google Sans Text"/>
          <w:color w:val="303030"/>
          <w:shd w:val="clear" w:color="auto" w:fill="EDEFFA"/>
        </w:rPr>
        <w:t>透過交叉注意力機制</w:t>
      </w:r>
      <w:r>
        <w:rPr>
          <w:rFonts w:ascii="Google Sans Text" w:hAnsi="Google Sans Text"/>
          <w:color w:val="303030"/>
          <w:shd w:val="clear" w:color="auto" w:fill="EDEFFA"/>
        </w:rPr>
        <w:t xml:space="preserve"> (Cross-attention) </w:t>
      </w:r>
      <w:r>
        <w:rPr>
          <w:rFonts w:ascii="Google Sans Text" w:hAnsi="Google Sans Text"/>
          <w:color w:val="303030"/>
          <w:shd w:val="clear" w:color="auto" w:fill="EDEFFA"/>
        </w:rPr>
        <w:t>自動建立特徵間的語意關聯，並動態分配權重</w:t>
      </w:r>
    </w:p>
    <w:p w14:paraId="6DC43EE5" w14:textId="1759BCD0" w:rsidR="007B01A2" w:rsidRPr="007B01A2" w:rsidRDefault="007B01A2" w:rsidP="007B01A2">
      <w:r>
        <w:rPr>
          <w:rFonts w:ascii="Google Sans Text" w:hAnsi="Google Sans Text"/>
          <w:b/>
          <w:bCs/>
          <w:color w:val="303030"/>
          <w:sz w:val="21"/>
          <w:szCs w:val="21"/>
        </w:rPr>
        <w:t>殘差連接</w:t>
      </w:r>
      <w:r>
        <w:rPr>
          <w:rFonts w:ascii="Google Sans Text" w:hAnsi="Google Sans Text" w:hint="eastAsia"/>
          <w:b/>
          <w:bCs/>
          <w:color w:val="303030"/>
          <w:sz w:val="21"/>
          <w:szCs w:val="21"/>
        </w:rPr>
        <w:t>:</w:t>
      </w:r>
      <w:r>
        <w:rPr>
          <w:rFonts w:ascii="Google Sans Text" w:hAnsi="Google Sans Text"/>
          <w:i/>
          <w:iCs/>
          <w:color w:val="303030"/>
          <w:sz w:val="21"/>
          <w:szCs w:val="21"/>
        </w:rPr>
        <w:t>公式：</w:t>
      </w:r>
      <w:r>
        <w:rPr>
          <w:rStyle w:val="mord"/>
          <w:rFonts w:ascii="KaTeX_Math" w:hAnsi="KaTeX_Math" w:cs="Times New Roman"/>
          <w:i/>
          <w:iCs/>
          <w:color w:val="303030"/>
          <w:sz w:val="25"/>
          <w:szCs w:val="25"/>
        </w:rPr>
        <w:t>F</w:t>
      </w:r>
      <w:r>
        <w:rPr>
          <w:rStyle w:val="mord"/>
          <w:rFonts w:ascii="Times New Roman" w:hAnsi="Times New Roman" w:cs="Times New Roman"/>
          <w:color w:val="303030"/>
          <w:sz w:val="18"/>
          <w:szCs w:val="18"/>
        </w:rPr>
        <w:t>2</w:t>
      </w:r>
      <w:r>
        <w:rPr>
          <w:rStyle w:val="vlist-s"/>
          <w:rFonts w:ascii="Times New Roman" w:hAnsi="Times New Roman" w:cs="Times New Roman"/>
          <w:color w:val="303030"/>
          <w:sz w:val="2"/>
          <w:szCs w:val="2"/>
        </w:rPr>
        <w:t>​</w:t>
      </w:r>
      <w:r>
        <w:rPr>
          <w:rStyle w:val="mrel"/>
          <w:rFonts w:ascii="Times New Roman" w:hAnsi="Times New Roman" w:cs="Times New Roman"/>
          <w:color w:val="303030"/>
          <w:sz w:val="25"/>
          <w:szCs w:val="25"/>
        </w:rPr>
        <w:t>=</w:t>
      </w:r>
      <w:r>
        <w:rPr>
          <w:rStyle w:val="mord"/>
          <w:rFonts w:ascii="KaTeX_Math" w:hAnsi="KaTeX_Math" w:cs="Times New Roman"/>
          <w:i/>
          <w:iCs/>
          <w:color w:val="303030"/>
          <w:sz w:val="25"/>
          <w:szCs w:val="25"/>
        </w:rPr>
        <w:t>F</w:t>
      </w:r>
      <w:r>
        <w:rPr>
          <w:rStyle w:val="mord"/>
          <w:rFonts w:ascii="Times New Roman" w:hAnsi="Times New Roman" w:cs="Times New Roman"/>
          <w:color w:val="303030"/>
          <w:sz w:val="18"/>
          <w:szCs w:val="18"/>
        </w:rPr>
        <w:t>1</w:t>
      </w:r>
      <w:r>
        <w:rPr>
          <w:rStyle w:val="vlist-s"/>
          <w:rFonts w:ascii="Times New Roman" w:hAnsi="Times New Roman" w:cs="Times New Roman"/>
          <w:color w:val="303030"/>
          <w:sz w:val="2"/>
          <w:szCs w:val="2"/>
        </w:rPr>
        <w:t>​</w:t>
      </w:r>
      <w:r>
        <w:rPr>
          <w:rStyle w:val="mbin"/>
          <w:rFonts w:ascii="Times New Roman" w:hAnsi="Times New Roman" w:cs="Times New Roman"/>
          <w:color w:val="303030"/>
          <w:sz w:val="25"/>
          <w:szCs w:val="25"/>
        </w:rPr>
        <w:t>+</w:t>
      </w:r>
      <w:proofErr w:type="spellStart"/>
      <w:r>
        <w:rPr>
          <w:rStyle w:val="mord"/>
          <w:rFonts w:ascii="Times New Roman" w:hAnsi="Times New Roman" w:cs="Times New Roman"/>
          <w:color w:val="303030"/>
          <w:sz w:val="25"/>
          <w:szCs w:val="25"/>
        </w:rPr>
        <w:t>Concat</w:t>
      </w:r>
      <w:proofErr w:type="spellEnd"/>
      <w:r>
        <w:rPr>
          <w:rStyle w:val="mopen"/>
          <w:rFonts w:ascii="Times New Roman" w:hAnsi="Times New Roman" w:cs="Times New Roman"/>
          <w:color w:val="303030"/>
          <w:sz w:val="25"/>
          <w:szCs w:val="25"/>
        </w:rPr>
        <w:t>(</w:t>
      </w:r>
      <w:r>
        <w:rPr>
          <w:rStyle w:val="mord"/>
          <w:rFonts w:ascii="KaTeX_Math" w:hAnsi="KaTeX_Math" w:cs="Times New Roman"/>
          <w:i/>
          <w:iCs/>
          <w:color w:val="303030"/>
          <w:sz w:val="25"/>
          <w:szCs w:val="25"/>
        </w:rPr>
        <w:t>Z</w:t>
      </w:r>
      <w:r>
        <w:rPr>
          <w:rStyle w:val="mord"/>
          <w:rFonts w:ascii="Times New Roman" w:hAnsi="Times New Roman" w:cs="Times New Roman"/>
          <w:color w:val="303030"/>
          <w:sz w:val="18"/>
          <w:szCs w:val="18"/>
        </w:rPr>
        <w:t>1</w:t>
      </w:r>
      <w:r>
        <w:rPr>
          <w:rStyle w:val="vlist-s"/>
          <w:rFonts w:ascii="Times New Roman" w:hAnsi="Times New Roman" w:cs="Times New Roman"/>
          <w:color w:val="303030"/>
          <w:sz w:val="2"/>
          <w:szCs w:val="2"/>
        </w:rPr>
        <w:t>​</w:t>
      </w:r>
      <w:r>
        <w:rPr>
          <w:rStyle w:val="mpunct"/>
          <w:rFonts w:ascii="Times New Roman" w:hAnsi="Times New Roman" w:cs="Times New Roman"/>
          <w:color w:val="303030"/>
          <w:sz w:val="25"/>
          <w:szCs w:val="25"/>
        </w:rPr>
        <w:t>,</w:t>
      </w:r>
      <w:r>
        <w:rPr>
          <w:rStyle w:val="minner"/>
          <w:rFonts w:ascii="Times New Roman" w:hAnsi="Times New Roman" w:cs="Times New Roman"/>
          <w:color w:val="303030"/>
          <w:sz w:val="25"/>
          <w:szCs w:val="25"/>
        </w:rPr>
        <w:t>…</w:t>
      </w:r>
      <w:r>
        <w:rPr>
          <w:rStyle w:val="mpunct"/>
          <w:rFonts w:ascii="Times New Roman" w:hAnsi="Times New Roman" w:cs="Times New Roman"/>
          <w:color w:val="303030"/>
          <w:sz w:val="25"/>
          <w:szCs w:val="25"/>
        </w:rPr>
        <w:t>,</w:t>
      </w:r>
      <w:proofErr w:type="spellStart"/>
      <w:r>
        <w:rPr>
          <w:rStyle w:val="mord"/>
          <w:rFonts w:ascii="KaTeX_Math" w:hAnsi="KaTeX_Math" w:cs="Times New Roman"/>
          <w:i/>
          <w:iCs/>
          <w:color w:val="303030"/>
          <w:sz w:val="25"/>
          <w:szCs w:val="25"/>
        </w:rPr>
        <w:t>Z</w:t>
      </w:r>
      <w:r>
        <w:rPr>
          <w:rStyle w:val="mord"/>
          <w:rFonts w:ascii="KaTeX_Math" w:hAnsi="KaTeX_Math" w:cs="Times New Roman"/>
          <w:i/>
          <w:iCs/>
          <w:color w:val="303030"/>
          <w:sz w:val="18"/>
          <w:szCs w:val="18"/>
        </w:rPr>
        <w:t>h</w:t>
      </w:r>
      <w:proofErr w:type="spellEnd"/>
      <w:r>
        <w:rPr>
          <w:rStyle w:val="vlist-s"/>
          <w:rFonts w:ascii="Times New Roman" w:hAnsi="Times New Roman" w:cs="Times New Roman"/>
          <w:color w:val="303030"/>
          <w:sz w:val="2"/>
          <w:szCs w:val="2"/>
        </w:rPr>
        <w:t>​</w:t>
      </w:r>
      <w:r>
        <w:rPr>
          <w:rStyle w:val="mclose"/>
          <w:rFonts w:ascii="Times New Roman" w:hAnsi="Times New Roman" w:cs="Times New Roman"/>
          <w:color w:val="303030"/>
          <w:sz w:val="25"/>
          <w:szCs w:val="25"/>
        </w:rPr>
        <w:t>)</w:t>
      </w:r>
      <w:r>
        <w:rPr>
          <w:rStyle w:val="mord"/>
          <w:rFonts w:ascii="KaTeX_Math" w:hAnsi="KaTeX_Math" w:cs="Times New Roman"/>
          <w:i/>
          <w:iCs/>
          <w:color w:val="303030"/>
          <w:sz w:val="25"/>
          <w:szCs w:val="25"/>
        </w:rPr>
        <w:t>W</w:t>
      </w:r>
      <w:r>
        <w:rPr>
          <w:rStyle w:val="mord"/>
          <w:rFonts w:ascii="KaTeX_Math" w:hAnsi="KaTeX_Math" w:cs="Times New Roman"/>
          <w:i/>
          <w:iCs/>
          <w:color w:val="303030"/>
          <w:sz w:val="18"/>
          <w:szCs w:val="18"/>
        </w:rPr>
        <w:t>O</w:t>
      </w:r>
      <w:r>
        <w:rPr>
          <w:rStyle w:val="vlist-s"/>
          <w:rFonts w:ascii="Times New Roman" w:hAnsi="Times New Roman" w:cs="Times New Roman"/>
          <w:color w:val="303030"/>
          <w:sz w:val="2"/>
          <w:szCs w:val="2"/>
        </w:rPr>
        <w:t>​</w:t>
      </w:r>
    </w:p>
    <w:p w14:paraId="0BC11D25" w14:textId="0A87D9C1" w:rsidR="007B01A2" w:rsidRDefault="007B01A2" w:rsidP="00C40630"/>
    <w:p w14:paraId="18B97544" w14:textId="1F3B2508" w:rsidR="007B01A2" w:rsidRDefault="007B01A2" w:rsidP="00C40630"/>
    <w:p w14:paraId="3F591A9F" w14:textId="77777777" w:rsidR="007B01A2" w:rsidRPr="007B01A2" w:rsidRDefault="007B01A2" w:rsidP="00C40630">
      <w:pPr>
        <w:rPr>
          <w:rFonts w:hint="eastAsia"/>
        </w:rPr>
      </w:pPr>
    </w:p>
    <w:p w14:paraId="0F8FB739" w14:textId="2CA2078F" w:rsidR="00C40630" w:rsidRDefault="00C40630" w:rsidP="00C40630">
      <w:pPr>
        <w:rPr>
          <w:sz w:val="32"/>
          <w:szCs w:val="28"/>
        </w:rPr>
      </w:pPr>
      <w:r w:rsidRPr="00C40630">
        <w:rPr>
          <w:sz w:val="32"/>
          <w:szCs w:val="28"/>
        </w:rPr>
        <w:lastRenderedPageBreak/>
        <w:t>5 Fusion of medical imaging and electronic health records using deep learning: a systematic review and implementation guidelines</w:t>
      </w:r>
    </w:p>
    <w:p w14:paraId="5F08D63C" w14:textId="3AED5DBC" w:rsidR="00283D58" w:rsidRDefault="00283D58" w:rsidP="00C40630">
      <w:r w:rsidRPr="00283D58">
        <w:drawing>
          <wp:inline distT="0" distB="0" distL="0" distR="0" wp14:anchorId="27BCF23D" wp14:editId="4AD72683">
            <wp:extent cx="5274310" cy="1290320"/>
            <wp:effectExtent l="0" t="0" r="2540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CF96" w14:textId="77777777" w:rsidR="00283D58" w:rsidRPr="00283D58" w:rsidRDefault="00283D58" w:rsidP="00C40630">
      <w:pPr>
        <w:rPr>
          <w:rFonts w:hint="eastAsia"/>
        </w:rPr>
      </w:pPr>
    </w:p>
    <w:p w14:paraId="59A0E6AC" w14:textId="547AD789" w:rsidR="008436F9" w:rsidRDefault="00C40630" w:rsidP="00C40630">
      <w:pPr>
        <w:rPr>
          <w:sz w:val="32"/>
          <w:szCs w:val="28"/>
        </w:rPr>
      </w:pPr>
      <w:r w:rsidRPr="00C40630">
        <w:rPr>
          <w:sz w:val="32"/>
          <w:szCs w:val="28"/>
        </w:rPr>
        <w:t>6 Multimodal Deep Learning Based on Ultrasound Images and Clinical Data for Better Ovarian Cancer Diagnosis</w:t>
      </w:r>
    </w:p>
    <w:p w14:paraId="303F0EC7" w14:textId="77777777" w:rsidR="00F939FD" w:rsidRDefault="00F939FD" w:rsidP="00F939FD">
      <w:pPr>
        <w:pStyle w:val="paragraph"/>
        <w:shd w:val="clear" w:color="auto" w:fill="FFFFFF"/>
        <w:rPr>
          <w:rFonts w:ascii="Times New Roman" w:hAnsi="Times New Roman" w:cs="Times New Roman"/>
          <w:color w:val="303030"/>
          <w:sz w:val="27"/>
          <w:szCs w:val="27"/>
        </w:rPr>
      </w:pPr>
      <w:r>
        <w:rPr>
          <w:rFonts w:ascii="Times New Roman" w:hAnsi="Times New Roman" w:cs="Times New Roman"/>
          <w:b/>
          <w:bCs/>
          <w:color w:val="303030"/>
          <w:sz w:val="27"/>
          <w:szCs w:val="27"/>
        </w:rPr>
        <w:t>一致性增強：</w:t>
      </w:r>
      <w:r>
        <w:rPr>
          <w:rStyle w:val="ng-star-inserted"/>
          <w:rFonts w:ascii="Times New Roman" w:hAnsi="Times New Roman" w:cs="Times New Roman"/>
          <w:color w:val="303030"/>
          <w:sz w:val="27"/>
          <w:szCs w:val="27"/>
        </w:rPr>
        <w:t> </w:t>
      </w:r>
      <w:r>
        <w:rPr>
          <w:rStyle w:val="ng-star-inserted"/>
          <w:rFonts w:ascii="Times New Roman" w:hAnsi="Times New Roman" w:cs="Times New Roman"/>
          <w:color w:val="303030"/>
          <w:sz w:val="27"/>
          <w:szCs w:val="27"/>
        </w:rPr>
        <w:t>醫師間的</w:t>
      </w:r>
      <w:r>
        <w:rPr>
          <w:rStyle w:val="ng-star-inserted"/>
          <w:rFonts w:ascii="Times New Roman" w:hAnsi="Times New Roman" w:cs="Times New Roman"/>
          <w:color w:val="303030"/>
          <w:sz w:val="27"/>
          <w:szCs w:val="27"/>
        </w:rPr>
        <w:t xml:space="preserve"> Kappa </w:t>
      </w:r>
      <w:r>
        <w:rPr>
          <w:rStyle w:val="ng-star-inserted"/>
          <w:rFonts w:ascii="Times New Roman" w:hAnsi="Times New Roman" w:cs="Times New Roman"/>
          <w:color w:val="303030"/>
          <w:sz w:val="27"/>
          <w:szCs w:val="27"/>
        </w:rPr>
        <w:t>值從「尚可至良好」提升至「優異」（最高達</w:t>
      </w:r>
      <w:r>
        <w:rPr>
          <w:rStyle w:val="ng-star-inserted"/>
          <w:rFonts w:ascii="Times New Roman" w:hAnsi="Times New Roman" w:cs="Times New Roman"/>
          <w:color w:val="303030"/>
          <w:sz w:val="27"/>
          <w:szCs w:val="27"/>
        </w:rPr>
        <w:t xml:space="preserve"> 0.953</w:t>
      </w:r>
      <w:r>
        <w:rPr>
          <w:rStyle w:val="ng-star-inserted"/>
          <w:rFonts w:ascii="Times New Roman" w:hAnsi="Times New Roman" w:cs="Times New Roman"/>
          <w:color w:val="303030"/>
          <w:sz w:val="27"/>
          <w:szCs w:val="27"/>
        </w:rPr>
        <w:t>）。</w:t>
      </w:r>
    </w:p>
    <w:p w14:paraId="07AB7A84" w14:textId="5C64255E" w:rsidR="00F939FD" w:rsidRPr="00F939FD" w:rsidRDefault="0090622F" w:rsidP="00C40630">
      <w:r w:rsidRPr="0090622F">
        <w:drawing>
          <wp:inline distT="0" distB="0" distL="0" distR="0" wp14:anchorId="379A0F6A" wp14:editId="1222E1C3">
            <wp:extent cx="5274310" cy="2527935"/>
            <wp:effectExtent l="0" t="0" r="2540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B30">
        <w:rPr>
          <w:rFonts w:hint="eastAsia"/>
        </w:rPr>
        <w:t xml:space="preserve">  </w:t>
      </w:r>
    </w:p>
    <w:sectPr w:rsidR="00F939FD" w:rsidRPr="00F939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2A5F"/>
    <w:multiLevelType w:val="multilevel"/>
    <w:tmpl w:val="92F0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032D5"/>
    <w:multiLevelType w:val="multilevel"/>
    <w:tmpl w:val="A7C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3C"/>
    <w:rsid w:val="00011B30"/>
    <w:rsid w:val="00094F3E"/>
    <w:rsid w:val="001F0801"/>
    <w:rsid w:val="00283D58"/>
    <w:rsid w:val="002A3C94"/>
    <w:rsid w:val="00302F9E"/>
    <w:rsid w:val="00375F24"/>
    <w:rsid w:val="00383A4A"/>
    <w:rsid w:val="003B3EA7"/>
    <w:rsid w:val="0045677E"/>
    <w:rsid w:val="004C58EB"/>
    <w:rsid w:val="00585974"/>
    <w:rsid w:val="005A39BC"/>
    <w:rsid w:val="007B01A2"/>
    <w:rsid w:val="008436F9"/>
    <w:rsid w:val="0086137F"/>
    <w:rsid w:val="00887B34"/>
    <w:rsid w:val="008B0376"/>
    <w:rsid w:val="008B32FB"/>
    <w:rsid w:val="0090622F"/>
    <w:rsid w:val="009336B6"/>
    <w:rsid w:val="009E60CB"/>
    <w:rsid w:val="00A411D6"/>
    <w:rsid w:val="00AB4AB5"/>
    <w:rsid w:val="00BE763C"/>
    <w:rsid w:val="00C40630"/>
    <w:rsid w:val="00CD63E5"/>
    <w:rsid w:val="00CE7CC0"/>
    <w:rsid w:val="00E45FB4"/>
    <w:rsid w:val="00F939FD"/>
    <w:rsid w:val="00FC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D3C02"/>
  <w15:chartTrackingRefBased/>
  <w15:docId w15:val="{646553FB-ADC2-4283-B07F-F000A416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7B01A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ng-star-inserted">
    <w:name w:val="ng-star-inserted"/>
    <w:basedOn w:val="a0"/>
    <w:rsid w:val="007B01A2"/>
  </w:style>
  <w:style w:type="character" w:customStyle="1" w:styleId="mord">
    <w:name w:val="mord"/>
    <w:basedOn w:val="a0"/>
    <w:rsid w:val="007B01A2"/>
  </w:style>
  <w:style w:type="character" w:customStyle="1" w:styleId="vlist-s">
    <w:name w:val="vlist-s"/>
    <w:basedOn w:val="a0"/>
    <w:rsid w:val="007B01A2"/>
  </w:style>
  <w:style w:type="character" w:customStyle="1" w:styleId="mrel">
    <w:name w:val="mrel"/>
    <w:basedOn w:val="a0"/>
    <w:rsid w:val="007B01A2"/>
  </w:style>
  <w:style w:type="character" w:customStyle="1" w:styleId="mbin">
    <w:name w:val="mbin"/>
    <w:basedOn w:val="a0"/>
    <w:rsid w:val="007B01A2"/>
  </w:style>
  <w:style w:type="character" w:customStyle="1" w:styleId="mopen">
    <w:name w:val="mopen"/>
    <w:basedOn w:val="a0"/>
    <w:rsid w:val="007B01A2"/>
  </w:style>
  <w:style w:type="character" w:customStyle="1" w:styleId="mpunct">
    <w:name w:val="mpunct"/>
    <w:basedOn w:val="a0"/>
    <w:rsid w:val="007B01A2"/>
  </w:style>
  <w:style w:type="character" w:customStyle="1" w:styleId="minner">
    <w:name w:val="minner"/>
    <w:basedOn w:val="a0"/>
    <w:rsid w:val="007B01A2"/>
  </w:style>
  <w:style w:type="character" w:customStyle="1" w:styleId="mclose">
    <w:name w:val="mclose"/>
    <w:basedOn w:val="a0"/>
    <w:rsid w:val="007B0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9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8529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建宇 賴</dc:creator>
  <cp:keywords/>
  <dc:description/>
  <cp:lastModifiedBy>建宇 賴</cp:lastModifiedBy>
  <cp:revision>21</cp:revision>
  <dcterms:created xsi:type="dcterms:W3CDTF">2026-05-18T03:39:00Z</dcterms:created>
  <dcterms:modified xsi:type="dcterms:W3CDTF">2026-05-24T03:55:00Z</dcterms:modified>
</cp:coreProperties>
</file>