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8"/>
        </w:rPr>
        <w:t>A Systematic Benchmark of Prompting Techniques</w:t>
        <w:br/>
        <w:t>Across NLP Tasks</w:t>
      </w:r>
    </w:p>
    <w:p/>
    <w:p>
      <w:pPr>
        <w:jc w:val="center"/>
      </w:pPr>
      <w:r>
        <w:rPr>
          <w:i/>
          <w:sz w:val="28"/>
        </w:rPr>
        <w:t>An Empirical Comparison of Eight Prompting Strategies</w:t>
        <w:br/>
        <w:t>Across Five Natural Language Processing Tasks</w:t>
      </w:r>
    </w:p>
    <w:p/>
    <w:p/>
    <w:p/>
    <w:p/>
    <w:p>
      <w:pPr>
        <w:jc w:val="center"/>
      </w:pPr>
      <w:r>
        <w:rPr>
          <w:sz w:val="24"/>
        </w:rPr>
        <w:t>Independent Research Report</w:t>
        <w:br/>
        <w:t>Prepared for Scholarship Application Submission</w:t>
      </w:r>
    </w:p>
    <w:p>
      <w:r>
        <w:br w:type="page"/>
      </w:r>
    </w:p>
    <w:p>
      <w:pPr>
        <w:pStyle w:val="Heading1"/>
      </w:pPr>
      <w:r>
        <w:t>Abstract</w:t>
      </w:r>
    </w:p>
    <w:p>
      <w:r>
        <w:t>This study presents a controlled empirical comparison of eight prompting techniques across five natural language processing tasks, evaluating whether prompting technique effectiveness varies systematically by task type. Using a single open-weight large language model (openai/gpt-oss-20b) under fixed inference settings (temperature 0.0, except self-consistency at 0.7; random seed 42), thirty-eight technique-task combinations were evaluated across sentiment classification (TweetEval), named entity recognition (MultiNERD), abstractive summarisation (XSum), question answering (TriviaQA), and paraphrase detection (GLUE MRPC). Results show that reasoning-oriented techniques — chain-of-thought and self-consistency — do not reliably outperform simpler techniques such as zero-shot, few-shot, or reformulation, despite substantially higher inference cost in the case of self-consistency. Reformulation, which rephrases the task instruction with explicit constraints, was the strongest technique on three of five tasks (named entity recognition, question answering, and paraphrase detection) but the near the bottom on the other two (second-to-last on sentiment classification and last on summarisation ROUGE-L), so its advantage is task-dependent. This suggests that, for tasks with well-defined objectives, instruction clarity may matter more than reasoning depth or demonstration count. The study is scoped to English-language tasks, a single model, and a single random seed. Paired bootstrap 95% confidence intervals show that most differences between techniques within a task are not statistically distinguishable at 100 examples per task, so rankings should be read as indicative rather than definitive. A planned cross-lingual extension to Urdu was scoped during development but is not included in this release.</w:t>
      </w:r>
    </w:p>
    <w:p>
      <w:pPr>
        <w:pStyle w:val="Heading1"/>
      </w:pPr>
      <w:r>
        <w:t>1. Introduction</w:t>
      </w:r>
    </w:p>
    <w:p>
      <w:r>
        <w:t>Selecting an appropriate prompting technique matters practically: unlike fine-tuning, prompting requires no additional training data or compute investment beyond inference, making it the default adaptation strategy for practitioners working with large pretrained models under cost, latency, or data constraints. However, prompting techniques vary widely in complexity and inference cost — from a single zero-shot instruction to self-consistency, which requires multiple independent samples per input — and it is not obvious a priori which techniques justify their additional cost on any given task.</w:t>
      </w:r>
    </w:p>
    <w:p>
      <w:r>
        <w:t>Despite the proliferation of prompting techniques in recent years, systematic cross-task comparison remains limited. Liu et al. (2023), in a survey of prompting methods, explicitly note that comparisons of prompting techniques across diverse task types are underrepresented in the literature; most empirical evaluations of a given technique are conducted on the narrow set of tasks for which that technique was originally proposed (for example, chain-of-thought on mathematical reasoning benchmarks), leaving open the question of how techniques compare when tested outside their original evaluation domain.</w:t>
      </w:r>
    </w:p>
    <w:p>
      <w:r>
        <w:t>This study addresses that gap directly. The research question is: does the effectiveness of prompting techniques vary systematically by task type, and if so, do more elaborate, reasoning-oriented techniques reliably outperform simpler ones? To answer this, eight prompting techniques — zero-shot, few-shot, chain-of-thought, role prompting, reformulation, self-consistency, structured output, and few-shot chain-of-thought — were evaluated on five distinct NLP tasks under identical model, inference, and evaluation conditions: sentiment classification, named entity recognition, abstractive summarisation, question answering, and paraphrase detection.</w:t>
      </w:r>
    </w:p>
    <w:p>
      <w:r>
        <w:t>The contribution of this work is a controlled, single-model, eight-technique by five-task comparison conducted under matched conditions, with every result traceable to a specific model, prompt template version, and random seed, and every reported metric independently recomputable from preserved raw model outputs. Rather than proposing a new prompting technique, this study asks a more fundamental question for practitioners: given a fixed model and a fixed task, which existing technique is worth using, and does the answer depend on the task?</w:t>
      </w:r>
    </w:p>
    <w:p>
      <w:pPr>
        <w:pStyle w:val="Heading1"/>
      </w:pPr>
      <w:r>
        <w:t>2. Related Work</w:t>
      </w:r>
    </w:p>
    <w:p>
      <w:r>
        <w:t>Liu et al. (2023) provide a comprehensive survey of prompting methods in natural language processing, cataloguing a wide range of prompting strategies and their reported applications. Notably, the survey identifies systematic cross-task comparison of prompting techniques as an open gap in the literature, along with cross-lingual prompting as an underexplored direction. This study directly addresses the first of these two gaps by evaluating the same eight techniques across five distinct task types under matched conditions; the second gap — cross-lingual evaluation — was scoped during development but is not addressed in this release (see Limitations).</w:t>
      </w:r>
    </w:p>
    <w:p>
      <w:r>
        <w:t>Wang et al. (2023) introduced self-consistency, showing that sampling multiple reasoning paths at elevated temperature and taking a majority vote improves chain-of-thought performance by 17.9 percentage points on the GSM8K mathematical reasoning benchmark. Their evaluation, however, was restricted to reasoning-oriented tasks and did not test self-consistency on sentiment classification, named entity recognition, or free-text generation tasks; the authors themselves acknowledge higher computational cost as a limitation. This study extends their evaluation to sentiment classification, named entity recognition, and paraphrase detection (self-consistency was excluded from question answering and summarisation, where majority voting over free-text output is undefined), providing evidence on whether the technique's benefits generalise beyond reasoning tasks.</w:t>
      </w:r>
    </w:p>
    <w:p>
      <w:r>
        <w:t>Brown et al. (2020) demonstrated that few-shot prompting improves performance over zero-shot prompting with GPT-3, but that the size of this improvement varies considerably by task — for example, few-shot prompting improved closed-book TriviaQA performance from 64.3% to 71.2% exact match. This task-dependent effect motivates the present study's central research question and is consistent with the finding, reported here, that no single technique dominates across all five tasks evaluated.</w:t>
      </w:r>
    </w:p>
    <w:p>
      <w:r>
        <w:t>Wei et al. (2022) showed that chain-of-thought prompting substantially improves performance on arithmetic, commonsense, and symbolic reasoning benchmarks, but did not evaluate the technique on classification or extraction tasks such as sentiment analysis or named entity recognition. Kojima et al. (2022) similarly showed that a simple "let's think step by step" instruction improves zero-shot reasoning performance, but restricted evaluation to reasoning benchmarks. This study tests chain-of-thought prompting, in both zero-shot and few-shot forms, across all five task types evaluated, including two — sentiment classification and named entity recognition — that fall outside the reasoning-task domain in which chain-of-thought was originally validated.</w:t>
      </w:r>
    </w:p>
    <w:p>
      <w:pPr>
        <w:pStyle w:val="Heading1"/>
      </w:pPr>
      <w:r>
        <w:t>3. Methodology</w:t>
      </w:r>
    </w:p>
    <w:p>
      <w:pPr>
        <w:pStyle w:val="Heading2"/>
      </w:pPr>
      <w:r>
        <w:t>3.1 Model and Inference Settings</w:t>
      </w:r>
    </w:p>
    <w:p>
      <w:r>
        <w:t>All experiments used openai/gpt-oss-20b, accessed via Groq's inference API. Temperature was fixed at 0.0 for all techniques except self-consistency, which used temperature 0.7, as in Wang et al. (2023), with three samples per input. Wang et al. used up to 40 sampled paths, so this is a cost-constrained configuration that may understate the technique's benefit. A single random seed (42) was fixed across all experiments, including dataset sampling and few-shot demonstration selection, to ensure reproducibility.</w:t>
      </w:r>
    </w:p>
    <w:p>
      <w:pPr>
        <w:pStyle w:val="Heading2"/>
      </w:pPr>
      <w:r>
        <w:t>3.2 Prompting Techniques</w:t>
      </w:r>
    </w:p>
    <w:p>
      <w:r>
        <w:t>Eight prompting techniques were evaluated:</w:t>
      </w:r>
    </w:p>
    <w:p>
      <w:pPr>
        <w:pStyle w:val="ListNumber"/>
      </w:pPr>
      <w:r>
        <w:rPr>
          <w:b/>
        </w:rPr>
        <w:t xml:space="preserve">Zero-shot — </w:t>
      </w:r>
      <w:r>
        <w:t>a direct task instruction with no examples provided.</w:t>
      </w:r>
    </w:p>
    <w:p>
      <w:pPr>
        <w:pStyle w:val="ListNumber"/>
      </w:pPr>
      <w:r>
        <w:rPr>
          <w:b/>
        </w:rPr>
        <w:t xml:space="preserve">Few-shot — </w:t>
      </w:r>
      <w:r>
        <w:t>three in-context demonstrations sampled per instance, with the target example always excluded from its own demonstration pool to prevent contamination.</w:t>
      </w:r>
    </w:p>
    <w:p>
      <w:pPr>
        <w:pStyle w:val="ListNumber"/>
      </w:pPr>
      <w:r>
        <w:rPr>
          <w:b/>
        </w:rPr>
        <w:t xml:space="preserve">Chain-of-Thought (CoT) — </w:t>
      </w:r>
      <w:r>
        <w:t>a "let's think step by step" reasoning instruction, following Kojima et al. (2022).</w:t>
      </w:r>
    </w:p>
    <w:p>
      <w:pPr>
        <w:pStyle w:val="ListNumber"/>
      </w:pPr>
      <w:r>
        <w:rPr>
          <w:b/>
        </w:rPr>
        <w:t xml:space="preserve">Role prompting — </w:t>
      </w:r>
      <w:r>
        <w:t>the model is assigned a domain-expert persona before receiving the task instruction.</w:t>
      </w:r>
    </w:p>
    <w:p>
      <w:pPr>
        <w:pStyle w:val="ListNumber"/>
      </w:pPr>
      <w:r>
        <w:rPr>
          <w:b/>
        </w:rPr>
        <w:t xml:space="preserve">Reformulation — </w:t>
      </w:r>
      <w:r>
        <w:t>the task instruction is rephrased with explicit constraints on the expected output.</w:t>
      </w:r>
    </w:p>
    <w:p>
      <w:pPr>
        <w:pStyle w:val="ListNumber"/>
      </w:pPr>
      <w:r>
        <w:rPr>
          <w:b/>
        </w:rPr>
        <w:t xml:space="preserve">Self-consistency — </w:t>
      </w:r>
      <w:r>
        <w:t>three samples generated at temperature 0.7, aggregated by majority vote, following Wang et al. (2023); excluded from question answering and summarisation, where majority voting over free-text generation is undefined.</w:t>
      </w:r>
    </w:p>
    <w:p>
      <w:pPr>
        <w:pStyle w:val="ListNumber"/>
      </w:pPr>
      <w:r>
        <w:rPr>
          <w:b/>
        </w:rPr>
        <w:t xml:space="preserve">Structured output — </w:t>
      </w:r>
      <w:r>
        <w:t>the model is required to produce its answer in a fixed output schema.</w:t>
      </w:r>
    </w:p>
    <w:p>
      <w:pPr>
        <w:pStyle w:val="ListNumber"/>
      </w:pPr>
      <w:r>
        <w:rPr>
          <w:b/>
        </w:rPr>
        <w:t xml:space="preserve">Few-shot CoT — </w:t>
      </w:r>
      <w:r>
        <w:t>combines in-context demonstrations with step-by-step reasoning.</w:t>
      </w:r>
    </w:p>
    <w:p>
      <w:pPr>
        <w:pStyle w:val="Heading2"/>
      </w:pPr>
      <w:r>
        <w:t>3.3 Tasks and Datasets</w:t>
      </w:r>
    </w:p>
    <w:p>
      <w:r>
        <w:t>Five tasks were evaluated, each sampled to 100 examples with the fixed random seed: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Task</w:t>
            </w:r>
          </w:p>
        </w:tc>
        <w:tc>
          <w:tcPr>
            <w:tcW w:type="dxa" w:w="2340"/>
          </w:tcPr>
          <w:p>
            <w:r>
              <w:rPr>
                <w:b/>
              </w:rPr>
              <w:t>Dataset</w:t>
            </w:r>
          </w:p>
        </w:tc>
        <w:tc>
          <w:tcPr>
            <w:tcW w:type="dxa" w:w="2340"/>
          </w:tcPr>
          <w:p>
            <w:r>
              <w:rPr>
                <w:b/>
              </w:rPr>
              <w:t>Split</w:t>
            </w:r>
          </w:p>
        </w:tc>
        <w:tc>
          <w:tcPr>
            <w:tcW w:type="dxa" w:w="2340"/>
          </w:tcPr>
          <w:p>
            <w:r>
              <w:rPr>
                <w:b/>
              </w:rPr>
              <w:t>N</w:t>
            </w:r>
          </w:p>
        </w:tc>
      </w:tr>
      <w:tr>
        <w:tc>
          <w:tcPr>
            <w:tcW w:type="dxa" w:w="2340"/>
          </w:tcPr>
          <w:p>
            <w:r>
              <w:t>Sentiment classification</w:t>
            </w:r>
          </w:p>
        </w:tc>
        <w:tc>
          <w:tcPr>
            <w:tcW w:type="dxa" w:w="2340"/>
          </w:tcPr>
          <w:p>
            <w:r>
              <w:t>TweetEval</w:t>
            </w:r>
          </w:p>
        </w:tc>
        <w:tc>
          <w:tcPr>
            <w:tcW w:type="dxa" w:w="2340"/>
          </w:tcPr>
          <w:p>
            <w:r>
              <w:t>test</w:t>
            </w:r>
          </w:p>
        </w:tc>
        <w:tc>
          <w:tcPr>
            <w:tcW w:type="dxa" w:w="2340"/>
          </w:tcPr>
          <w:p>
            <w:r>
              <w:t>100</w:t>
            </w:r>
          </w:p>
        </w:tc>
      </w:tr>
      <w:tr>
        <w:tc>
          <w:tcPr>
            <w:tcW w:type="dxa" w:w="2340"/>
          </w:tcPr>
          <w:p>
            <w:r>
              <w:t>Named entity recognition</w:t>
            </w:r>
          </w:p>
        </w:tc>
        <w:tc>
          <w:tcPr>
            <w:tcW w:type="dxa" w:w="2340"/>
          </w:tcPr>
          <w:p>
            <w:r>
              <w:t>MultiNERD (English)</w:t>
            </w:r>
          </w:p>
        </w:tc>
        <w:tc>
          <w:tcPr>
            <w:tcW w:type="dxa" w:w="2340"/>
          </w:tcPr>
          <w:p>
            <w:r>
              <w:t>test</w:t>
            </w:r>
          </w:p>
        </w:tc>
        <w:tc>
          <w:tcPr>
            <w:tcW w:type="dxa" w:w="2340"/>
          </w:tcPr>
          <w:p>
            <w:r>
              <w:t>100</w:t>
            </w:r>
          </w:p>
        </w:tc>
      </w:tr>
      <w:tr>
        <w:tc>
          <w:tcPr>
            <w:tcW w:type="dxa" w:w="2340"/>
          </w:tcPr>
          <w:p>
            <w:r>
              <w:t>Abstractive summarisation</w:t>
            </w:r>
          </w:p>
        </w:tc>
        <w:tc>
          <w:tcPr>
            <w:tcW w:type="dxa" w:w="2340"/>
          </w:tcPr>
          <w:p>
            <w:r>
              <w:t>XSum</w:t>
            </w:r>
          </w:p>
        </w:tc>
        <w:tc>
          <w:tcPr>
            <w:tcW w:type="dxa" w:w="2340"/>
          </w:tcPr>
          <w:p>
            <w:r>
              <w:t>test</w:t>
            </w:r>
          </w:p>
        </w:tc>
        <w:tc>
          <w:tcPr>
            <w:tcW w:type="dxa" w:w="2340"/>
          </w:tcPr>
          <w:p>
            <w:r>
              <w:t>100</w:t>
            </w:r>
          </w:p>
        </w:tc>
      </w:tr>
      <w:tr>
        <w:tc>
          <w:tcPr>
            <w:tcW w:type="dxa" w:w="2340"/>
          </w:tcPr>
          <w:p>
            <w:r>
              <w:t>Question answering</w:t>
            </w:r>
          </w:p>
        </w:tc>
        <w:tc>
          <w:tcPr>
            <w:tcW w:type="dxa" w:w="2340"/>
          </w:tcPr>
          <w:p>
            <w:r>
              <w:t>TriviaQA (closed-book)</w:t>
            </w:r>
          </w:p>
        </w:tc>
        <w:tc>
          <w:tcPr>
            <w:tcW w:type="dxa" w:w="2340"/>
          </w:tcPr>
          <w:p>
            <w:r>
              <w:t>validation</w:t>
            </w:r>
          </w:p>
        </w:tc>
        <w:tc>
          <w:tcPr>
            <w:tcW w:type="dxa" w:w="2340"/>
          </w:tcPr>
          <w:p>
            <w:r>
              <w:t>100</w:t>
            </w:r>
          </w:p>
        </w:tc>
      </w:tr>
      <w:tr>
        <w:tc>
          <w:tcPr>
            <w:tcW w:type="dxa" w:w="2340"/>
          </w:tcPr>
          <w:p>
            <w:r>
              <w:t>Paraphrase detection</w:t>
            </w:r>
          </w:p>
        </w:tc>
        <w:tc>
          <w:tcPr>
            <w:tcW w:type="dxa" w:w="2340"/>
          </w:tcPr>
          <w:p>
            <w:r>
              <w:t>GLUE MRPC</w:t>
            </w:r>
          </w:p>
        </w:tc>
        <w:tc>
          <w:tcPr>
            <w:tcW w:type="dxa" w:w="2340"/>
          </w:tcPr>
          <w:p>
            <w:r>
              <w:t>test</w:t>
            </w:r>
          </w:p>
        </w:tc>
        <w:tc>
          <w:tcPr>
            <w:tcW w:type="dxa" w:w="2340"/>
          </w:tcPr>
          <w:p>
            <w:r>
              <w:t>100</w:t>
            </w:r>
          </w:p>
        </w:tc>
      </w:tr>
    </w:tbl>
    <w:p/>
    <w:p>
      <w:r>
        <w:t>The sentiment and paraphrase datasets exhibit class imbalance relative to a uniform label distribution (sentiment: Positive/Neutral/Negative = 18/48/34; paraphrase: Paraphrase/Not Paraphrase = 76/24), which is relevant when interpreting macro F1 and accuracy for these two tasks.</w:t>
      </w:r>
    </w:p>
    <w:p>
      <w:pPr>
        <w:pStyle w:val="Heading2"/>
      </w:pPr>
      <w:r>
        <w:t>3.4 Evaluation Metrics</w:t>
      </w:r>
    </w:p>
    <w:p>
      <w:r>
        <w:t>Each task was scored using a metric appropriate to its output type, following standard conventions where applicable: sentiment classification used macro F1 (TweetEval's official sentiment metric is macro-averaged recall, so these scores are not directly comparable to the TweetEval leaderboard); named entity recognition used entity-level F1 requiring exact span and type match (the CoNLL convention); summarisation used ROUGE-L and BERTScore with a bert-base-uncased backbone; question answering used exact match and token-level F1 with article and punctuation normalisation (the SQuAD convention); and paraphrase detection used macro F1, consistent with this study's standard across all classification tasks, though this differs from GLUE's official binary-F1 convention and is not directly comparable to the public MRPC leaderboard without conversion.</w:t>
      </w:r>
    </w:p>
    <w:p>
      <w:pPr>
        <w:pStyle w:val="Heading2"/>
      </w:pPr>
      <w:r>
        <w:t>3.5 Output Extraction and Parsing</w:t>
      </w:r>
    </w:p>
    <w:p>
      <w:r>
        <w:t>All model outputs were extracted using a structured &lt;answer&gt; tag contract embedded in every prompt template, rather than free-text pattern matching. This design choice ensured consistent, auditable parsing across all eight techniques regardless of how verbose or structured a given technique's raw output was — a chain-of-thought response, for example, could contain substantial reasoning text before its final answer, and the tag contract allowed the answer to be extracted deterministically without relying on heuristics that might behave differently across techniques. Parse failures — a missing tag, an empty response, or a content-filter refusal — were counted as incorrect predictions in every metric rather than excluded from the evaluation set, and per-technique failure rates ("flagged" counts) are reported alongside every score in the Results section.</w:t>
      </w:r>
    </w:p>
    <w:p>
      <w:pPr>
        <w:pStyle w:val="Heading2"/>
      </w:pPr>
      <w:r>
        <w:t>3.6 Pipeline Integrity and Reproducibility</w:t>
      </w:r>
    </w:p>
    <w:p>
      <w:r>
        <w:t>The evaluation pipeline underwent iterative internal audit throughout development. Measurement validity — including metric computation correctness, prompt template consistency, and demonstration-sampling integrity — was verified before final results were generated. Every reported result is traceable to a specific model name, prompt template version, normaliser version, and random seed, recorded per experiment; raw model predictions for every example are preserved, allowing every reported metric to be independently recomputed from source data.</w:t>
      </w:r>
    </w:p>
    <w:p>
      <w:pPr>
        <w:pStyle w:val="Heading1"/>
      </w:pPr>
      <w:r>
        <w:t>4. Results</w:t>
      </w:r>
    </w:p>
    <w:p>
      <w:r>
        <w:t>Thirty-eight of thirty-eight planned English-language experiments were completed (eight techniques across five tasks, with self-consistency excluded from question answering and summarisation). Tables 1 through 5 report the complete results for each task. "Flagged" indicates the number of examples, out of 100, for which a parse failure occurred and the prediction was counted as incorrect.</w:t>
      </w:r>
    </w:p>
    <w:p>
      <w:pPr>
        <w:pStyle w:val="Heading2"/>
      </w:pPr>
      <w:r>
        <w:t>4.1 Sentiment Classification (Macro F1)</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Technique</w:t>
            </w:r>
          </w:p>
        </w:tc>
        <w:tc>
          <w:tcPr>
            <w:tcW w:type="dxa" w:w="2340"/>
          </w:tcPr>
          <w:p>
            <w:r>
              <w:rPr>
                <w:b/>
              </w:rPr>
              <w:t>Macro F1</w:t>
            </w:r>
          </w:p>
        </w:tc>
        <w:tc>
          <w:tcPr>
            <w:tcW w:type="dxa" w:w="2340"/>
          </w:tcPr>
          <w:p>
            <w:r>
              <w:rPr>
                <w:b/>
              </w:rPr>
              <w:t>95% CI</w:t>
            </w:r>
          </w:p>
        </w:tc>
        <w:tc>
          <w:tcPr>
            <w:tcW w:type="dxa" w:w="2340"/>
          </w:tcPr>
          <w:p>
            <w:r>
              <w:rPr>
                <w:b/>
              </w:rPr>
              <w:t>Flagged</w:t>
            </w:r>
          </w:p>
        </w:tc>
      </w:tr>
      <w:tr>
        <w:tc>
          <w:tcPr>
            <w:tcW w:type="dxa" w:w="2340"/>
          </w:tcPr>
          <w:p>
            <w:r>
              <w:t>Few-shot CoT</w:t>
            </w:r>
          </w:p>
        </w:tc>
        <w:tc>
          <w:tcPr>
            <w:tcW w:type="dxa" w:w="2340"/>
          </w:tcPr>
          <w:p>
            <w:r>
              <w:t>0.7159</w:t>
            </w:r>
          </w:p>
        </w:tc>
        <w:tc>
          <w:tcPr>
            <w:tcW w:type="dxa" w:w="2340"/>
          </w:tcPr>
          <w:p>
            <w:r>
              <w:t>0.618–0.800</w:t>
            </w:r>
          </w:p>
        </w:tc>
        <w:tc>
          <w:tcPr>
            <w:tcW w:type="dxa" w:w="2340"/>
          </w:tcPr>
          <w:p>
            <w:r>
              <w:t>0</w:t>
            </w:r>
          </w:p>
        </w:tc>
      </w:tr>
      <w:tr>
        <w:tc>
          <w:tcPr>
            <w:tcW w:type="dxa" w:w="2340"/>
          </w:tcPr>
          <w:p>
            <w:r>
              <w:t>Few-shot</w:t>
            </w:r>
          </w:p>
        </w:tc>
        <w:tc>
          <w:tcPr>
            <w:tcW w:type="dxa" w:w="2340"/>
          </w:tcPr>
          <w:p>
            <w:r>
              <w:t>0.6924</w:t>
            </w:r>
          </w:p>
        </w:tc>
        <w:tc>
          <w:tcPr>
            <w:tcW w:type="dxa" w:w="2340"/>
          </w:tcPr>
          <w:p>
            <w:r>
              <w:t>0.595–0.780</w:t>
            </w:r>
          </w:p>
        </w:tc>
        <w:tc>
          <w:tcPr>
            <w:tcW w:type="dxa" w:w="2340"/>
          </w:tcPr>
          <w:p>
            <w:r>
              <w:t>0</w:t>
            </w:r>
          </w:p>
        </w:tc>
      </w:tr>
      <w:tr>
        <w:tc>
          <w:tcPr>
            <w:tcW w:type="dxa" w:w="2340"/>
          </w:tcPr>
          <w:p>
            <w:r>
              <w:t>Role</w:t>
            </w:r>
          </w:p>
        </w:tc>
        <w:tc>
          <w:tcPr>
            <w:tcW w:type="dxa" w:w="2340"/>
          </w:tcPr>
          <w:p>
            <w:r>
              <w:t>0.6673</w:t>
            </w:r>
          </w:p>
        </w:tc>
        <w:tc>
          <w:tcPr>
            <w:tcW w:type="dxa" w:w="2340"/>
          </w:tcPr>
          <w:p>
            <w:r>
              <w:t>0.573–0.750</w:t>
            </w:r>
          </w:p>
        </w:tc>
        <w:tc>
          <w:tcPr>
            <w:tcW w:type="dxa" w:w="2340"/>
          </w:tcPr>
          <w:p>
            <w:r>
              <w:t>0</w:t>
            </w:r>
          </w:p>
        </w:tc>
      </w:tr>
      <w:tr>
        <w:tc>
          <w:tcPr>
            <w:tcW w:type="dxa" w:w="2340"/>
          </w:tcPr>
          <w:p>
            <w:r>
              <w:t>Zero-shot</w:t>
            </w:r>
          </w:p>
        </w:tc>
        <w:tc>
          <w:tcPr>
            <w:tcW w:type="dxa" w:w="2340"/>
          </w:tcPr>
          <w:p>
            <w:r>
              <w:t>0.6663</w:t>
            </w:r>
          </w:p>
        </w:tc>
        <w:tc>
          <w:tcPr>
            <w:tcW w:type="dxa" w:w="2340"/>
          </w:tcPr>
          <w:p>
            <w:r>
              <w:t>0.568–0.758</w:t>
            </w:r>
          </w:p>
        </w:tc>
        <w:tc>
          <w:tcPr>
            <w:tcW w:type="dxa" w:w="2340"/>
          </w:tcPr>
          <w:p>
            <w:r>
              <w:t>0</w:t>
            </w:r>
          </w:p>
        </w:tc>
      </w:tr>
      <w:tr>
        <w:tc>
          <w:tcPr>
            <w:tcW w:type="dxa" w:w="2340"/>
          </w:tcPr>
          <w:p>
            <w:r>
              <w:t>Structured output</w:t>
            </w:r>
          </w:p>
        </w:tc>
        <w:tc>
          <w:tcPr>
            <w:tcW w:type="dxa" w:w="2340"/>
          </w:tcPr>
          <w:p>
            <w:r>
              <w:t>0.6583</w:t>
            </w:r>
          </w:p>
        </w:tc>
        <w:tc>
          <w:tcPr>
            <w:tcW w:type="dxa" w:w="2340"/>
          </w:tcPr>
          <w:p>
            <w:r>
              <w:t>0.567–0.745</w:t>
            </w:r>
          </w:p>
        </w:tc>
        <w:tc>
          <w:tcPr>
            <w:tcW w:type="dxa" w:w="2340"/>
          </w:tcPr>
          <w:p>
            <w:r>
              <w:t>0</w:t>
            </w:r>
          </w:p>
        </w:tc>
      </w:tr>
      <w:tr>
        <w:tc>
          <w:tcPr>
            <w:tcW w:type="dxa" w:w="2340"/>
          </w:tcPr>
          <w:p>
            <w:r>
              <w:t>CoT</w:t>
            </w:r>
          </w:p>
        </w:tc>
        <w:tc>
          <w:tcPr>
            <w:tcW w:type="dxa" w:w="2340"/>
          </w:tcPr>
          <w:p>
            <w:r>
              <w:t>0.6577</w:t>
            </w:r>
          </w:p>
        </w:tc>
        <w:tc>
          <w:tcPr>
            <w:tcW w:type="dxa" w:w="2340"/>
          </w:tcPr>
          <w:p>
            <w:r>
              <w:t>0.563–0.746</w:t>
            </w:r>
          </w:p>
        </w:tc>
        <w:tc>
          <w:tcPr>
            <w:tcW w:type="dxa" w:w="2340"/>
          </w:tcPr>
          <w:p>
            <w:r>
              <w:t>0</w:t>
            </w:r>
          </w:p>
        </w:tc>
      </w:tr>
      <w:tr>
        <w:tc>
          <w:tcPr>
            <w:tcW w:type="dxa" w:w="2340"/>
          </w:tcPr>
          <w:p>
            <w:r>
              <w:t>Reformulation</w:t>
            </w:r>
          </w:p>
        </w:tc>
        <w:tc>
          <w:tcPr>
            <w:tcW w:type="dxa" w:w="2340"/>
          </w:tcPr>
          <w:p>
            <w:r>
              <w:t>0.6047</w:t>
            </w:r>
          </w:p>
        </w:tc>
        <w:tc>
          <w:tcPr>
            <w:tcW w:type="dxa" w:w="2340"/>
          </w:tcPr>
          <w:p>
            <w:r>
              <w:t>0.504–0.699</w:t>
            </w:r>
          </w:p>
        </w:tc>
        <w:tc>
          <w:tcPr>
            <w:tcW w:type="dxa" w:w="2340"/>
          </w:tcPr>
          <w:p>
            <w:r>
              <w:t>0</w:t>
            </w:r>
          </w:p>
        </w:tc>
      </w:tr>
      <w:tr>
        <w:tc>
          <w:tcPr>
            <w:tcW w:type="dxa" w:w="2340"/>
          </w:tcPr>
          <w:p>
            <w:r>
              <w:t>Self-consistency</w:t>
            </w:r>
          </w:p>
        </w:tc>
        <w:tc>
          <w:tcPr>
            <w:tcW w:type="dxa" w:w="2340"/>
          </w:tcPr>
          <w:p>
            <w:r>
              <w:t>0.6015</w:t>
            </w:r>
          </w:p>
        </w:tc>
        <w:tc>
          <w:tcPr>
            <w:tcW w:type="dxa" w:w="2340"/>
          </w:tcPr>
          <w:p>
            <w:r>
              <w:t>0.499–0.693</w:t>
            </w:r>
          </w:p>
        </w:tc>
        <w:tc>
          <w:tcPr>
            <w:tcW w:type="dxa" w:w="2340"/>
          </w:tcPr>
          <w:p>
            <w:r>
              <w:t>0</w:t>
            </w:r>
          </w:p>
        </w:tc>
      </w:tr>
    </w:tbl>
    <w:p/>
    <w:p>
      <w:r>
        <w:t>Combining demonstrations with reasoning (few-shot CoT) produced the strongest result. CoT alone did not outperform zero-shot, suggesting explicit reasoning adds limited value for sentiment classification without accompanying examples. Self-consistency, despite requiring three times the inference cost, underperformed simple zero-shot prompting.</w:t>
      </w:r>
    </w:p>
    <w:p>
      <w:pPr>
        <w:pStyle w:val="Heading2"/>
      </w:pPr>
      <w:r>
        <w:t>4.2 Named Entity Recognition (Entity-Level F1)</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Technique</w:t>
            </w:r>
          </w:p>
        </w:tc>
        <w:tc>
          <w:tcPr>
            <w:tcW w:type="dxa" w:w="2340"/>
          </w:tcPr>
          <w:p>
            <w:r>
              <w:rPr>
                <w:b/>
              </w:rPr>
              <w:t>Entity F1</w:t>
            </w:r>
          </w:p>
        </w:tc>
        <w:tc>
          <w:tcPr>
            <w:tcW w:type="dxa" w:w="2340"/>
          </w:tcPr>
          <w:p>
            <w:r>
              <w:rPr>
                <w:b/>
              </w:rPr>
              <w:t>95% CI</w:t>
            </w:r>
          </w:p>
        </w:tc>
        <w:tc>
          <w:tcPr>
            <w:tcW w:type="dxa" w:w="2340"/>
          </w:tcPr>
          <w:p>
            <w:r>
              <w:rPr>
                <w:b/>
              </w:rPr>
              <w:t>Flagged</w:t>
            </w:r>
          </w:p>
        </w:tc>
      </w:tr>
      <w:tr>
        <w:tc>
          <w:tcPr>
            <w:tcW w:type="dxa" w:w="2340"/>
          </w:tcPr>
          <w:p>
            <w:r>
              <w:t>Reformulation</w:t>
            </w:r>
          </w:p>
        </w:tc>
        <w:tc>
          <w:tcPr>
            <w:tcW w:type="dxa" w:w="2340"/>
          </w:tcPr>
          <w:p>
            <w:r>
              <w:t>0.7692</w:t>
            </w:r>
          </w:p>
        </w:tc>
        <w:tc>
          <w:tcPr>
            <w:tcW w:type="dxa" w:w="2340"/>
          </w:tcPr>
          <w:p>
            <w:r>
              <w:t>0.694–0.834</w:t>
            </w:r>
          </w:p>
        </w:tc>
        <w:tc>
          <w:tcPr>
            <w:tcW w:type="dxa" w:w="2340"/>
          </w:tcPr>
          <w:p>
            <w:r>
              <w:t>4</w:t>
            </w:r>
          </w:p>
        </w:tc>
      </w:tr>
      <w:tr>
        <w:tc>
          <w:tcPr>
            <w:tcW w:type="dxa" w:w="2340"/>
          </w:tcPr>
          <w:p>
            <w:r>
              <w:t>Few-shot</w:t>
            </w:r>
          </w:p>
        </w:tc>
        <w:tc>
          <w:tcPr>
            <w:tcW w:type="dxa" w:w="2340"/>
          </w:tcPr>
          <w:p>
            <w:r>
              <w:t>0.7573</w:t>
            </w:r>
          </w:p>
        </w:tc>
        <w:tc>
          <w:tcPr>
            <w:tcW w:type="dxa" w:w="2340"/>
          </w:tcPr>
          <w:p>
            <w:r>
              <w:t>0.689–0.814</w:t>
            </w:r>
          </w:p>
        </w:tc>
        <w:tc>
          <w:tcPr>
            <w:tcW w:type="dxa" w:w="2340"/>
          </w:tcPr>
          <w:p>
            <w:r>
              <w:t>0</w:t>
            </w:r>
          </w:p>
        </w:tc>
      </w:tr>
      <w:tr>
        <w:tc>
          <w:tcPr>
            <w:tcW w:type="dxa" w:w="2340"/>
          </w:tcPr>
          <w:p>
            <w:r>
              <w:t>Self-consistency</w:t>
            </w:r>
          </w:p>
        </w:tc>
        <w:tc>
          <w:tcPr>
            <w:tcW w:type="dxa" w:w="2340"/>
          </w:tcPr>
          <w:p>
            <w:r>
              <w:t>0.7539</w:t>
            </w:r>
          </w:p>
        </w:tc>
        <w:tc>
          <w:tcPr>
            <w:tcW w:type="dxa" w:w="2340"/>
          </w:tcPr>
          <w:p>
            <w:r>
              <w:t>0.693–0.810</w:t>
            </w:r>
          </w:p>
        </w:tc>
        <w:tc>
          <w:tcPr>
            <w:tcW w:type="dxa" w:w="2340"/>
          </w:tcPr>
          <w:p>
            <w:r>
              <w:t>0</w:t>
            </w:r>
          </w:p>
        </w:tc>
      </w:tr>
      <w:tr>
        <w:tc>
          <w:tcPr>
            <w:tcW w:type="dxa" w:w="2340"/>
          </w:tcPr>
          <w:p>
            <w:r>
              <w:t>CoT</w:t>
            </w:r>
          </w:p>
        </w:tc>
        <w:tc>
          <w:tcPr>
            <w:tcW w:type="dxa" w:w="2340"/>
          </w:tcPr>
          <w:p>
            <w:r>
              <w:t>0.7524</w:t>
            </w:r>
          </w:p>
        </w:tc>
        <w:tc>
          <w:tcPr>
            <w:tcW w:type="dxa" w:w="2340"/>
          </w:tcPr>
          <w:p>
            <w:r>
              <w:t>0.691–0.808</w:t>
            </w:r>
          </w:p>
        </w:tc>
        <w:tc>
          <w:tcPr>
            <w:tcW w:type="dxa" w:w="2340"/>
          </w:tcPr>
          <w:p>
            <w:r>
              <w:t>1</w:t>
            </w:r>
          </w:p>
        </w:tc>
      </w:tr>
      <w:tr>
        <w:tc>
          <w:tcPr>
            <w:tcW w:type="dxa" w:w="2340"/>
          </w:tcPr>
          <w:p>
            <w:r>
              <w:t>Structured output</w:t>
            </w:r>
          </w:p>
        </w:tc>
        <w:tc>
          <w:tcPr>
            <w:tcW w:type="dxa" w:w="2340"/>
          </w:tcPr>
          <w:p>
            <w:r>
              <w:t>0.7516</w:t>
            </w:r>
          </w:p>
        </w:tc>
        <w:tc>
          <w:tcPr>
            <w:tcW w:type="dxa" w:w="2340"/>
          </w:tcPr>
          <w:p>
            <w:r>
              <w:t>0.680–0.815</w:t>
            </w:r>
          </w:p>
        </w:tc>
        <w:tc>
          <w:tcPr>
            <w:tcW w:type="dxa" w:w="2340"/>
          </w:tcPr>
          <w:p>
            <w:r>
              <w:t>2</w:t>
            </w:r>
          </w:p>
        </w:tc>
      </w:tr>
      <w:tr>
        <w:tc>
          <w:tcPr>
            <w:tcW w:type="dxa" w:w="2340"/>
          </w:tcPr>
          <w:p>
            <w:r>
              <w:t>Zero-shot</w:t>
            </w:r>
          </w:p>
        </w:tc>
        <w:tc>
          <w:tcPr>
            <w:tcW w:type="dxa" w:w="2340"/>
          </w:tcPr>
          <w:p>
            <w:r>
              <w:t>0.7500</w:t>
            </w:r>
          </w:p>
        </w:tc>
        <w:tc>
          <w:tcPr>
            <w:tcW w:type="dxa" w:w="2340"/>
          </w:tcPr>
          <w:p>
            <w:r>
              <w:t>0.680–0.814</w:t>
            </w:r>
          </w:p>
        </w:tc>
        <w:tc>
          <w:tcPr>
            <w:tcW w:type="dxa" w:w="2340"/>
          </w:tcPr>
          <w:p>
            <w:r>
              <w:t>2</w:t>
            </w:r>
          </w:p>
        </w:tc>
      </w:tr>
      <w:tr>
        <w:tc>
          <w:tcPr>
            <w:tcW w:type="dxa" w:w="2340"/>
          </w:tcPr>
          <w:p>
            <w:r>
              <w:t>Role</w:t>
            </w:r>
          </w:p>
        </w:tc>
        <w:tc>
          <w:tcPr>
            <w:tcW w:type="dxa" w:w="2340"/>
          </w:tcPr>
          <w:p>
            <w:r>
              <w:t>0.7483</w:t>
            </w:r>
          </w:p>
        </w:tc>
        <w:tc>
          <w:tcPr>
            <w:tcW w:type="dxa" w:w="2340"/>
          </w:tcPr>
          <w:p>
            <w:r>
              <w:t>0.678–0.813</w:t>
            </w:r>
          </w:p>
        </w:tc>
        <w:tc>
          <w:tcPr>
            <w:tcW w:type="dxa" w:w="2340"/>
          </w:tcPr>
          <w:p>
            <w:r>
              <w:t>3</w:t>
            </w:r>
          </w:p>
        </w:tc>
      </w:tr>
      <w:tr>
        <w:tc>
          <w:tcPr>
            <w:tcW w:type="dxa" w:w="2340"/>
          </w:tcPr>
          <w:p>
            <w:r>
              <w:t>Few-shot CoT</w:t>
            </w:r>
          </w:p>
        </w:tc>
        <w:tc>
          <w:tcPr>
            <w:tcW w:type="dxa" w:w="2340"/>
          </w:tcPr>
          <w:p>
            <w:r>
              <w:t>0.6957</w:t>
            </w:r>
          </w:p>
        </w:tc>
        <w:tc>
          <w:tcPr>
            <w:tcW w:type="dxa" w:w="2340"/>
          </w:tcPr>
          <w:p>
            <w:r>
              <w:t>0.612–0.776</w:t>
            </w:r>
          </w:p>
        </w:tc>
        <w:tc>
          <w:tcPr>
            <w:tcW w:type="dxa" w:w="2340"/>
          </w:tcPr>
          <w:p>
            <w:r>
              <w:t>0</w:t>
            </w:r>
          </w:p>
        </w:tc>
      </w:tr>
    </w:tbl>
    <w:p/>
    <w:p>
      <w:r>
        <w:t>Performance clustered tightly across most techniques (0.75-0.77), with few-shot CoT as a notable underperformer — the combination of demonstrations and reasoning appears to introduce noise for extraction tasks rather than improving precision.</w:t>
      </w:r>
    </w:p>
    <w:p>
      <w:pPr>
        <w:pStyle w:val="Heading2"/>
      </w:pPr>
      <w:r>
        <w:t>4.3 Abstractive Summarisation (ROUGE-L / BERTScore)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Technique</w:t>
            </w:r>
          </w:p>
        </w:tc>
        <w:tc>
          <w:tcPr>
            <w:tcW w:type="dxa" w:w="1872"/>
          </w:tcPr>
          <w:p>
            <w:r>
              <w:rPr>
                <w:b/>
              </w:rPr>
              <w:t>ROUGE-L</w:t>
            </w:r>
          </w:p>
        </w:tc>
        <w:tc>
          <w:tcPr>
            <w:tcW w:type="dxa" w:w="1872"/>
          </w:tcPr>
          <w:p>
            <w:r>
              <w:rPr>
                <w:b/>
              </w:rPr>
              <w:t>95% CI</w:t>
            </w:r>
          </w:p>
        </w:tc>
        <w:tc>
          <w:tcPr>
            <w:tcW w:type="dxa" w:w="1872"/>
          </w:tcPr>
          <w:p>
            <w:r>
              <w:rPr>
                <w:b/>
              </w:rPr>
              <w:t>BERTScore F1</w:t>
            </w:r>
          </w:p>
        </w:tc>
        <w:tc>
          <w:tcPr>
            <w:tcW w:type="dxa" w:w="1872"/>
          </w:tcPr>
          <w:p>
            <w:r>
              <w:rPr>
                <w:b/>
              </w:rPr>
              <w:t>Flagged</w:t>
            </w:r>
          </w:p>
        </w:tc>
      </w:tr>
      <w:tr>
        <w:tc>
          <w:tcPr>
            <w:tcW w:type="dxa" w:w="1872"/>
          </w:tcPr>
          <w:p>
            <w:r>
              <w:t>Few-shot CoT</w:t>
            </w:r>
          </w:p>
        </w:tc>
        <w:tc>
          <w:tcPr>
            <w:tcW w:type="dxa" w:w="1872"/>
          </w:tcPr>
          <w:p>
            <w:r>
              <w:t>0.1801</w:t>
            </w:r>
          </w:p>
        </w:tc>
        <w:tc>
          <w:tcPr>
            <w:tcW w:type="dxa" w:w="1872"/>
          </w:tcPr>
          <w:p>
            <w:r>
              <w:t>0.168–0.193</w:t>
            </w:r>
          </w:p>
        </w:tc>
        <w:tc>
          <w:tcPr>
            <w:tcW w:type="dxa" w:w="1872"/>
          </w:tcPr>
          <w:p>
            <w:r>
              <w:t>0.3044</w:t>
            </w:r>
          </w:p>
        </w:tc>
        <w:tc>
          <w:tcPr>
            <w:tcW w:type="dxa" w:w="1872"/>
          </w:tcPr>
          <w:p>
            <w:r>
              <w:t>0</w:t>
            </w:r>
          </w:p>
        </w:tc>
      </w:tr>
      <w:tr>
        <w:tc>
          <w:tcPr>
            <w:tcW w:type="dxa" w:w="1872"/>
          </w:tcPr>
          <w:p>
            <w:r>
              <w:t>Structured output</w:t>
            </w:r>
          </w:p>
        </w:tc>
        <w:tc>
          <w:tcPr>
            <w:tcW w:type="dxa" w:w="1872"/>
          </w:tcPr>
          <w:p>
            <w:r>
              <w:t>0.1800</w:t>
            </w:r>
          </w:p>
        </w:tc>
        <w:tc>
          <w:tcPr>
            <w:tcW w:type="dxa" w:w="1872"/>
          </w:tcPr>
          <w:p>
            <w:r>
              <w:t>0.162–0.196</w:t>
            </w:r>
          </w:p>
        </w:tc>
        <w:tc>
          <w:tcPr>
            <w:tcW w:type="dxa" w:w="1872"/>
          </w:tcPr>
          <w:p>
            <w:r>
              <w:t>0.2997</w:t>
            </w:r>
          </w:p>
        </w:tc>
        <w:tc>
          <w:tcPr>
            <w:tcW w:type="dxa" w:w="1872"/>
          </w:tcPr>
          <w:p>
            <w:r>
              <w:t>6</w:t>
            </w:r>
          </w:p>
        </w:tc>
      </w:tr>
      <w:tr>
        <w:tc>
          <w:tcPr>
            <w:tcW w:type="dxa" w:w="1872"/>
          </w:tcPr>
          <w:p>
            <w:r>
              <w:t>Zero-shot</w:t>
            </w:r>
          </w:p>
        </w:tc>
        <w:tc>
          <w:tcPr>
            <w:tcW w:type="dxa" w:w="1872"/>
          </w:tcPr>
          <w:p>
            <w:r>
              <w:t>0.1774</w:t>
            </w:r>
          </w:p>
        </w:tc>
        <w:tc>
          <w:tcPr>
            <w:tcW w:type="dxa" w:w="1872"/>
          </w:tcPr>
          <w:p>
            <w:r>
              <w:t>0.163–0.192</w:t>
            </w:r>
          </w:p>
        </w:tc>
        <w:tc>
          <w:tcPr>
            <w:tcW w:type="dxa" w:w="1872"/>
          </w:tcPr>
          <w:p>
            <w:r>
              <w:t>0.3105</w:t>
            </w:r>
          </w:p>
        </w:tc>
        <w:tc>
          <w:tcPr>
            <w:tcW w:type="dxa" w:w="1872"/>
          </w:tcPr>
          <w:p>
            <w:r>
              <w:t>0</w:t>
            </w:r>
          </w:p>
        </w:tc>
      </w:tr>
      <w:tr>
        <w:tc>
          <w:tcPr>
            <w:tcW w:type="dxa" w:w="1872"/>
          </w:tcPr>
          <w:p>
            <w:r>
              <w:t>Few-shot</w:t>
            </w:r>
          </w:p>
        </w:tc>
        <w:tc>
          <w:tcPr>
            <w:tcW w:type="dxa" w:w="1872"/>
          </w:tcPr>
          <w:p>
            <w:r>
              <w:t>0.1761</w:t>
            </w:r>
          </w:p>
        </w:tc>
        <w:tc>
          <w:tcPr>
            <w:tcW w:type="dxa" w:w="1872"/>
          </w:tcPr>
          <w:p>
            <w:r>
              <w:t>0.163–0.190</w:t>
            </w:r>
          </w:p>
        </w:tc>
        <w:tc>
          <w:tcPr>
            <w:tcW w:type="dxa" w:w="1872"/>
          </w:tcPr>
          <w:p>
            <w:r>
              <w:t>0.3020</w:t>
            </w:r>
          </w:p>
        </w:tc>
        <w:tc>
          <w:tcPr>
            <w:tcW w:type="dxa" w:w="1872"/>
          </w:tcPr>
          <w:p>
            <w:r>
              <w:t>0</w:t>
            </w:r>
          </w:p>
        </w:tc>
      </w:tr>
      <w:tr>
        <w:tc>
          <w:tcPr>
            <w:tcW w:type="dxa" w:w="1872"/>
          </w:tcPr>
          <w:p>
            <w:r>
              <w:t>Role</w:t>
            </w:r>
          </w:p>
        </w:tc>
        <w:tc>
          <w:tcPr>
            <w:tcW w:type="dxa" w:w="1872"/>
          </w:tcPr>
          <w:p>
            <w:r>
              <w:t>0.1739</w:t>
            </w:r>
          </w:p>
        </w:tc>
        <w:tc>
          <w:tcPr>
            <w:tcW w:type="dxa" w:w="1872"/>
          </w:tcPr>
          <w:p>
            <w:r>
              <w:t>0.158–0.188</w:t>
            </w:r>
          </w:p>
        </w:tc>
        <w:tc>
          <w:tcPr>
            <w:tcW w:type="dxa" w:w="1872"/>
          </w:tcPr>
          <w:p>
            <w:r>
              <w:t>0.3032</w:t>
            </w:r>
          </w:p>
        </w:tc>
        <w:tc>
          <w:tcPr>
            <w:tcW w:type="dxa" w:w="1872"/>
          </w:tcPr>
          <w:p>
            <w:r>
              <w:t>0</w:t>
            </w:r>
          </w:p>
        </w:tc>
      </w:tr>
      <w:tr>
        <w:tc>
          <w:tcPr>
            <w:tcW w:type="dxa" w:w="1872"/>
          </w:tcPr>
          <w:p>
            <w:r>
              <w:t>CoT</w:t>
            </w:r>
          </w:p>
        </w:tc>
        <w:tc>
          <w:tcPr>
            <w:tcW w:type="dxa" w:w="1872"/>
          </w:tcPr>
          <w:p>
            <w:r>
              <w:t>0.1715</w:t>
            </w:r>
          </w:p>
        </w:tc>
        <w:tc>
          <w:tcPr>
            <w:tcW w:type="dxa" w:w="1872"/>
          </w:tcPr>
          <w:p>
            <w:r>
              <w:t>0.159–0.184</w:t>
            </w:r>
          </w:p>
        </w:tc>
        <w:tc>
          <w:tcPr>
            <w:tcW w:type="dxa" w:w="1872"/>
          </w:tcPr>
          <w:p>
            <w:r>
              <w:t>0.3056</w:t>
            </w:r>
          </w:p>
        </w:tc>
        <w:tc>
          <w:tcPr>
            <w:tcW w:type="dxa" w:w="1872"/>
          </w:tcPr>
          <w:p>
            <w:r>
              <w:t>0</w:t>
            </w:r>
          </w:p>
        </w:tc>
      </w:tr>
      <w:tr>
        <w:tc>
          <w:tcPr>
            <w:tcW w:type="dxa" w:w="1872"/>
          </w:tcPr>
          <w:p>
            <w:r>
              <w:t>Reformulation</w:t>
            </w:r>
          </w:p>
        </w:tc>
        <w:tc>
          <w:tcPr>
            <w:tcW w:type="dxa" w:w="1872"/>
          </w:tcPr>
          <w:p>
            <w:r>
              <w:t>0.1709</w:t>
            </w:r>
          </w:p>
        </w:tc>
        <w:tc>
          <w:tcPr>
            <w:tcW w:type="dxa" w:w="1872"/>
          </w:tcPr>
          <w:p>
            <w:r>
              <w:t>0.155–0.186</w:t>
            </w:r>
          </w:p>
        </w:tc>
        <w:tc>
          <w:tcPr>
            <w:tcW w:type="dxa" w:w="1872"/>
          </w:tcPr>
          <w:p>
            <w:r>
              <w:t>0.2977</w:t>
            </w:r>
          </w:p>
        </w:tc>
        <w:tc>
          <w:tcPr>
            <w:tcW w:type="dxa" w:w="1872"/>
          </w:tcPr>
          <w:p>
            <w:r>
              <w:t>0</w:t>
            </w:r>
          </w:p>
        </w:tc>
      </w:tr>
    </w:tbl>
    <w:p/>
    <w:p>
      <w:r>
        <w:t>All techniques scored well below the fine-tuned PEGASUS baseline (approximately 0.40 ROUGE-L), consistent with expectations for zero/few-shot prompting versus fine-tuned models. Scores clustered closely across techniques, suggesting prompting strategy has limited impact on abstractive summarisation quality relative to the underlying model's capability.</w:t>
      </w:r>
    </w:p>
    <w:p>
      <w:pPr>
        <w:pStyle w:val="Heading2"/>
      </w:pPr>
      <w:r>
        <w:t>4.4 Question Answering (Exact Match / Token F1)</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Technique</w:t>
            </w:r>
          </w:p>
        </w:tc>
        <w:tc>
          <w:tcPr>
            <w:tcW w:type="dxa" w:w="1872"/>
          </w:tcPr>
          <w:p>
            <w:r>
              <w:rPr>
                <w:b/>
              </w:rPr>
              <w:t>Exact Match</w:t>
            </w:r>
          </w:p>
        </w:tc>
        <w:tc>
          <w:tcPr>
            <w:tcW w:type="dxa" w:w="1872"/>
          </w:tcPr>
          <w:p>
            <w:r>
              <w:rPr>
                <w:b/>
              </w:rPr>
              <w:t>95% CI</w:t>
            </w:r>
          </w:p>
        </w:tc>
        <w:tc>
          <w:tcPr>
            <w:tcW w:type="dxa" w:w="1872"/>
          </w:tcPr>
          <w:p>
            <w:r>
              <w:rPr>
                <w:b/>
              </w:rPr>
              <w:t>Token F1</w:t>
            </w:r>
          </w:p>
        </w:tc>
        <w:tc>
          <w:tcPr>
            <w:tcW w:type="dxa" w:w="1872"/>
          </w:tcPr>
          <w:p>
            <w:r>
              <w:rPr>
                <w:b/>
              </w:rPr>
              <w:t>Flagged</w:t>
            </w:r>
          </w:p>
        </w:tc>
      </w:tr>
      <w:tr>
        <w:tc>
          <w:tcPr>
            <w:tcW w:type="dxa" w:w="1872"/>
          </w:tcPr>
          <w:p>
            <w:r>
              <w:t>Reformulation</w:t>
            </w:r>
          </w:p>
        </w:tc>
        <w:tc>
          <w:tcPr>
            <w:tcW w:type="dxa" w:w="1872"/>
          </w:tcPr>
          <w:p>
            <w:r>
              <w:t>0.59</w:t>
            </w:r>
          </w:p>
        </w:tc>
        <w:tc>
          <w:tcPr>
            <w:tcW w:type="dxa" w:w="1872"/>
          </w:tcPr>
          <w:p>
            <w:r>
              <w:t>0.50–0.68</w:t>
            </w:r>
          </w:p>
        </w:tc>
        <w:tc>
          <w:tcPr>
            <w:tcW w:type="dxa" w:w="1872"/>
          </w:tcPr>
          <w:p>
            <w:r>
              <w:t>0.6453</w:t>
            </w:r>
          </w:p>
        </w:tc>
        <w:tc>
          <w:tcPr>
            <w:tcW w:type="dxa" w:w="1872"/>
          </w:tcPr>
          <w:p>
            <w:r>
              <w:t>0</w:t>
            </w:r>
          </w:p>
        </w:tc>
      </w:tr>
      <w:tr>
        <w:tc>
          <w:tcPr>
            <w:tcW w:type="dxa" w:w="1872"/>
          </w:tcPr>
          <w:p>
            <w:r>
              <w:t>Few-shot</w:t>
            </w:r>
          </w:p>
        </w:tc>
        <w:tc>
          <w:tcPr>
            <w:tcW w:type="dxa" w:w="1872"/>
          </w:tcPr>
          <w:p>
            <w:r>
              <w:t>0.55</w:t>
            </w:r>
          </w:p>
        </w:tc>
        <w:tc>
          <w:tcPr>
            <w:tcW w:type="dxa" w:w="1872"/>
          </w:tcPr>
          <w:p>
            <w:r>
              <w:t>0.46–0.64</w:t>
            </w:r>
          </w:p>
        </w:tc>
        <w:tc>
          <w:tcPr>
            <w:tcW w:type="dxa" w:w="1872"/>
          </w:tcPr>
          <w:p>
            <w:r>
              <w:t>0.6296</w:t>
            </w:r>
          </w:p>
        </w:tc>
        <w:tc>
          <w:tcPr>
            <w:tcW w:type="dxa" w:w="1872"/>
          </w:tcPr>
          <w:p>
            <w:r>
              <w:t>0</w:t>
            </w:r>
          </w:p>
        </w:tc>
      </w:tr>
      <w:tr>
        <w:tc>
          <w:tcPr>
            <w:tcW w:type="dxa" w:w="1872"/>
          </w:tcPr>
          <w:p>
            <w:r>
              <w:t>Role</w:t>
            </w:r>
          </w:p>
        </w:tc>
        <w:tc>
          <w:tcPr>
            <w:tcW w:type="dxa" w:w="1872"/>
          </w:tcPr>
          <w:p>
            <w:r>
              <w:t>0.55</w:t>
            </w:r>
          </w:p>
        </w:tc>
        <w:tc>
          <w:tcPr>
            <w:tcW w:type="dxa" w:w="1872"/>
          </w:tcPr>
          <w:p>
            <w:r>
              <w:t>0.46–0.64</w:t>
            </w:r>
          </w:p>
        </w:tc>
        <w:tc>
          <w:tcPr>
            <w:tcW w:type="dxa" w:w="1872"/>
          </w:tcPr>
          <w:p>
            <w:r>
              <w:t>0.6131</w:t>
            </w:r>
          </w:p>
        </w:tc>
        <w:tc>
          <w:tcPr>
            <w:tcW w:type="dxa" w:w="1872"/>
          </w:tcPr>
          <w:p>
            <w:r>
              <w:t>0</w:t>
            </w:r>
          </w:p>
        </w:tc>
      </w:tr>
      <w:tr>
        <w:tc>
          <w:tcPr>
            <w:tcW w:type="dxa" w:w="1872"/>
          </w:tcPr>
          <w:p>
            <w:r>
              <w:t>Structured output</w:t>
            </w:r>
          </w:p>
        </w:tc>
        <w:tc>
          <w:tcPr>
            <w:tcW w:type="dxa" w:w="1872"/>
          </w:tcPr>
          <w:p>
            <w:r>
              <w:t>0.55</w:t>
            </w:r>
          </w:p>
        </w:tc>
        <w:tc>
          <w:tcPr>
            <w:tcW w:type="dxa" w:w="1872"/>
          </w:tcPr>
          <w:p>
            <w:r>
              <w:t>0.46–0.64</w:t>
            </w:r>
          </w:p>
        </w:tc>
        <w:tc>
          <w:tcPr>
            <w:tcW w:type="dxa" w:w="1872"/>
          </w:tcPr>
          <w:p>
            <w:r>
              <w:t>0.5999</w:t>
            </w:r>
          </w:p>
        </w:tc>
        <w:tc>
          <w:tcPr>
            <w:tcW w:type="dxa" w:w="1872"/>
          </w:tcPr>
          <w:p>
            <w:r>
              <w:t>2</w:t>
            </w:r>
          </w:p>
        </w:tc>
      </w:tr>
      <w:tr>
        <w:tc>
          <w:tcPr>
            <w:tcW w:type="dxa" w:w="1872"/>
          </w:tcPr>
          <w:p>
            <w:r>
              <w:t>CoT</w:t>
            </w:r>
          </w:p>
        </w:tc>
        <w:tc>
          <w:tcPr>
            <w:tcW w:type="dxa" w:w="1872"/>
          </w:tcPr>
          <w:p>
            <w:r>
              <w:t>0.53</w:t>
            </w:r>
          </w:p>
        </w:tc>
        <w:tc>
          <w:tcPr>
            <w:tcW w:type="dxa" w:w="1872"/>
          </w:tcPr>
          <w:p>
            <w:r>
              <w:t>0.43–0.63</w:t>
            </w:r>
          </w:p>
        </w:tc>
        <w:tc>
          <w:tcPr>
            <w:tcW w:type="dxa" w:w="1872"/>
          </w:tcPr>
          <w:p>
            <w:r>
              <w:t>0.5894</w:t>
            </w:r>
          </w:p>
        </w:tc>
        <w:tc>
          <w:tcPr>
            <w:tcW w:type="dxa" w:w="1872"/>
          </w:tcPr>
          <w:p>
            <w:r>
              <w:t>1</w:t>
            </w:r>
          </w:p>
        </w:tc>
      </w:tr>
      <w:tr>
        <w:tc>
          <w:tcPr>
            <w:tcW w:type="dxa" w:w="1872"/>
          </w:tcPr>
          <w:p>
            <w:r>
              <w:t>Few-shot CoT</w:t>
            </w:r>
          </w:p>
        </w:tc>
        <w:tc>
          <w:tcPr>
            <w:tcW w:type="dxa" w:w="1872"/>
          </w:tcPr>
          <w:p>
            <w:r>
              <w:t>0.52</w:t>
            </w:r>
          </w:p>
        </w:tc>
        <w:tc>
          <w:tcPr>
            <w:tcW w:type="dxa" w:w="1872"/>
          </w:tcPr>
          <w:p>
            <w:r>
              <w:t>0.43–0.62</w:t>
            </w:r>
          </w:p>
        </w:tc>
        <w:tc>
          <w:tcPr>
            <w:tcW w:type="dxa" w:w="1872"/>
          </w:tcPr>
          <w:p>
            <w:r>
              <w:t>0.5963</w:t>
            </w:r>
          </w:p>
        </w:tc>
        <w:tc>
          <w:tcPr>
            <w:tcW w:type="dxa" w:w="1872"/>
          </w:tcPr>
          <w:p>
            <w:r>
              <w:t>1</w:t>
            </w:r>
          </w:p>
        </w:tc>
      </w:tr>
      <w:tr>
        <w:tc>
          <w:tcPr>
            <w:tcW w:type="dxa" w:w="1872"/>
          </w:tcPr>
          <w:p>
            <w:r>
              <w:t>Zero-shot</w:t>
            </w:r>
          </w:p>
        </w:tc>
        <w:tc>
          <w:tcPr>
            <w:tcW w:type="dxa" w:w="1872"/>
          </w:tcPr>
          <w:p>
            <w:r>
              <w:t>0.51</w:t>
            </w:r>
          </w:p>
        </w:tc>
        <w:tc>
          <w:tcPr>
            <w:tcW w:type="dxa" w:w="1872"/>
          </w:tcPr>
          <w:p>
            <w:r>
              <w:t>0.42–0.61</w:t>
            </w:r>
          </w:p>
        </w:tc>
        <w:tc>
          <w:tcPr>
            <w:tcW w:type="dxa" w:w="1872"/>
          </w:tcPr>
          <w:p>
            <w:r>
              <w:t>0.5777</w:t>
            </w:r>
          </w:p>
        </w:tc>
        <w:tc>
          <w:tcPr>
            <w:tcW w:type="dxa" w:w="1872"/>
          </w:tcPr>
          <w:p>
            <w:r>
              <w:t>2</w:t>
            </w:r>
          </w:p>
        </w:tc>
      </w:tr>
    </w:tbl>
    <w:p/>
    <w:p>
      <w:r>
        <w:t>Reformulation performed best on QA, suggesting that rephrasing the instruction with explicit constraints helps the model produce more precise short-answer outputs. Reasoning-based techniques (CoT, few-shot CoT) did not outperform simpler approaches on this closed-book factual QA task.</w:t>
      </w:r>
    </w:p>
    <w:p>
      <w:pPr>
        <w:pStyle w:val="Heading2"/>
      </w:pPr>
      <w:r>
        <w:t>4.5 Paraphrase Detection (Macro F1)</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Technique</w:t>
            </w:r>
          </w:p>
        </w:tc>
        <w:tc>
          <w:tcPr>
            <w:tcW w:type="dxa" w:w="2340"/>
          </w:tcPr>
          <w:p>
            <w:r>
              <w:rPr>
                <w:b/>
              </w:rPr>
              <w:t>Macro F1</w:t>
            </w:r>
          </w:p>
        </w:tc>
        <w:tc>
          <w:tcPr>
            <w:tcW w:type="dxa" w:w="2340"/>
          </w:tcPr>
          <w:p>
            <w:r>
              <w:rPr>
                <w:b/>
              </w:rPr>
              <w:t>95% CI</w:t>
            </w:r>
          </w:p>
        </w:tc>
        <w:tc>
          <w:tcPr>
            <w:tcW w:type="dxa" w:w="2340"/>
          </w:tcPr>
          <w:p>
            <w:r>
              <w:rPr>
                <w:b/>
              </w:rPr>
              <w:t>Flagged</w:t>
            </w:r>
          </w:p>
        </w:tc>
      </w:tr>
      <w:tr>
        <w:tc>
          <w:tcPr>
            <w:tcW w:type="dxa" w:w="2340"/>
          </w:tcPr>
          <w:p>
            <w:r>
              <w:t>Reformulation</w:t>
            </w:r>
          </w:p>
        </w:tc>
        <w:tc>
          <w:tcPr>
            <w:tcW w:type="dxa" w:w="2340"/>
          </w:tcPr>
          <w:p>
            <w:r>
              <w:t>0.7472</w:t>
            </w:r>
          </w:p>
        </w:tc>
        <w:tc>
          <w:tcPr>
            <w:tcW w:type="dxa" w:w="2340"/>
          </w:tcPr>
          <w:p>
            <w:r>
              <w:t>0.647–0.840</w:t>
            </w:r>
          </w:p>
        </w:tc>
        <w:tc>
          <w:tcPr>
            <w:tcW w:type="dxa" w:w="2340"/>
          </w:tcPr>
          <w:p>
            <w:r>
              <w:t>0</w:t>
            </w:r>
          </w:p>
        </w:tc>
      </w:tr>
      <w:tr>
        <w:tc>
          <w:tcPr>
            <w:tcW w:type="dxa" w:w="2340"/>
          </w:tcPr>
          <w:p>
            <w:r>
              <w:t>Role</w:t>
            </w:r>
          </w:p>
        </w:tc>
        <w:tc>
          <w:tcPr>
            <w:tcW w:type="dxa" w:w="2340"/>
          </w:tcPr>
          <w:p>
            <w:r>
              <w:t>0.7335</w:t>
            </w:r>
          </w:p>
        </w:tc>
        <w:tc>
          <w:tcPr>
            <w:tcW w:type="dxa" w:w="2340"/>
          </w:tcPr>
          <w:p>
            <w:r>
              <w:t>0.631–0.826</w:t>
            </w:r>
          </w:p>
        </w:tc>
        <w:tc>
          <w:tcPr>
            <w:tcW w:type="dxa" w:w="2340"/>
          </w:tcPr>
          <w:p>
            <w:r>
              <w:t>1</w:t>
            </w:r>
          </w:p>
        </w:tc>
      </w:tr>
      <w:tr>
        <w:tc>
          <w:tcPr>
            <w:tcW w:type="dxa" w:w="2340"/>
          </w:tcPr>
          <w:p>
            <w:r>
              <w:t>Self-consistency</w:t>
            </w:r>
          </w:p>
        </w:tc>
        <w:tc>
          <w:tcPr>
            <w:tcW w:type="dxa" w:w="2340"/>
          </w:tcPr>
          <w:p>
            <w:r>
              <w:t>0.7143</w:t>
            </w:r>
          </w:p>
        </w:tc>
        <w:tc>
          <w:tcPr>
            <w:tcW w:type="dxa" w:w="2340"/>
          </w:tcPr>
          <w:p>
            <w:r>
              <w:t>0.616–0.802</w:t>
            </w:r>
          </w:p>
        </w:tc>
        <w:tc>
          <w:tcPr>
            <w:tcW w:type="dxa" w:w="2340"/>
          </w:tcPr>
          <w:p>
            <w:r>
              <w:t>0</w:t>
            </w:r>
          </w:p>
        </w:tc>
      </w:tr>
      <w:tr>
        <w:tc>
          <w:tcPr>
            <w:tcW w:type="dxa" w:w="2340"/>
          </w:tcPr>
          <w:p>
            <w:r>
              <w:t>Zero-shot</w:t>
            </w:r>
          </w:p>
        </w:tc>
        <w:tc>
          <w:tcPr>
            <w:tcW w:type="dxa" w:w="2340"/>
          </w:tcPr>
          <w:p>
            <w:r>
              <w:t>0.7040</w:t>
            </w:r>
          </w:p>
        </w:tc>
        <w:tc>
          <w:tcPr>
            <w:tcW w:type="dxa" w:w="2340"/>
          </w:tcPr>
          <w:p>
            <w:r>
              <w:t>0.603–0.790</w:t>
            </w:r>
          </w:p>
        </w:tc>
        <w:tc>
          <w:tcPr>
            <w:tcW w:type="dxa" w:w="2340"/>
          </w:tcPr>
          <w:p>
            <w:r>
              <w:t>1</w:t>
            </w:r>
          </w:p>
        </w:tc>
      </w:tr>
      <w:tr>
        <w:tc>
          <w:tcPr>
            <w:tcW w:type="dxa" w:w="2340"/>
          </w:tcPr>
          <w:p>
            <w:r>
              <w:t>Few-shot</w:t>
            </w:r>
          </w:p>
        </w:tc>
        <w:tc>
          <w:tcPr>
            <w:tcW w:type="dxa" w:w="2340"/>
          </w:tcPr>
          <w:p>
            <w:r>
              <w:t>0.6970</w:t>
            </w:r>
          </w:p>
        </w:tc>
        <w:tc>
          <w:tcPr>
            <w:tcW w:type="dxa" w:w="2340"/>
          </w:tcPr>
          <w:p>
            <w:r>
              <w:t>0.596–0.785</w:t>
            </w:r>
          </w:p>
        </w:tc>
        <w:tc>
          <w:tcPr>
            <w:tcW w:type="dxa" w:w="2340"/>
          </w:tcPr>
          <w:p>
            <w:r>
              <w:t>2</w:t>
            </w:r>
          </w:p>
        </w:tc>
      </w:tr>
      <w:tr>
        <w:tc>
          <w:tcPr>
            <w:tcW w:type="dxa" w:w="2340"/>
          </w:tcPr>
          <w:p>
            <w:r>
              <w:t>Few-shot CoT</w:t>
            </w:r>
          </w:p>
        </w:tc>
        <w:tc>
          <w:tcPr>
            <w:tcW w:type="dxa" w:w="2340"/>
          </w:tcPr>
          <w:p>
            <w:r>
              <w:t>0.6923</w:t>
            </w:r>
          </w:p>
        </w:tc>
        <w:tc>
          <w:tcPr>
            <w:tcW w:type="dxa" w:w="2340"/>
          </w:tcPr>
          <w:p>
            <w:r>
              <w:t>0.597–0.787</w:t>
            </w:r>
          </w:p>
        </w:tc>
        <w:tc>
          <w:tcPr>
            <w:tcW w:type="dxa" w:w="2340"/>
          </w:tcPr>
          <w:p>
            <w:r>
              <w:t>0</w:t>
            </w:r>
          </w:p>
        </w:tc>
      </w:tr>
      <w:tr>
        <w:tc>
          <w:tcPr>
            <w:tcW w:type="dxa" w:w="2340"/>
          </w:tcPr>
          <w:p>
            <w:r>
              <w:t>Structured output</w:t>
            </w:r>
          </w:p>
        </w:tc>
        <w:tc>
          <w:tcPr>
            <w:tcW w:type="dxa" w:w="2340"/>
          </w:tcPr>
          <w:p>
            <w:r>
              <w:t>0.6495</w:t>
            </w:r>
          </w:p>
        </w:tc>
        <w:tc>
          <w:tcPr>
            <w:tcW w:type="dxa" w:w="2340"/>
          </w:tcPr>
          <w:p>
            <w:r>
              <w:t>0.549–0.740</w:t>
            </w:r>
          </w:p>
        </w:tc>
        <w:tc>
          <w:tcPr>
            <w:tcW w:type="dxa" w:w="2340"/>
          </w:tcPr>
          <w:p>
            <w:r>
              <w:t>1</w:t>
            </w:r>
          </w:p>
        </w:tc>
      </w:tr>
      <w:tr>
        <w:tc>
          <w:tcPr>
            <w:tcW w:type="dxa" w:w="2340"/>
          </w:tcPr>
          <w:p>
            <w:r>
              <w:t>CoT</w:t>
            </w:r>
          </w:p>
        </w:tc>
        <w:tc>
          <w:tcPr>
            <w:tcW w:type="dxa" w:w="2340"/>
          </w:tcPr>
          <w:p>
            <w:r>
              <w:t>0.6464</w:t>
            </w:r>
          </w:p>
        </w:tc>
        <w:tc>
          <w:tcPr>
            <w:tcW w:type="dxa" w:w="2340"/>
          </w:tcPr>
          <w:p>
            <w:r>
              <w:t>0.543–0.741</w:t>
            </w:r>
          </w:p>
        </w:tc>
        <w:tc>
          <w:tcPr>
            <w:tcW w:type="dxa" w:w="2340"/>
          </w:tcPr>
          <w:p>
            <w:r>
              <w:t>1</w:t>
            </w:r>
          </w:p>
        </w:tc>
      </w:tr>
    </w:tbl>
    <w:p/>
    <w:p>
      <w:r>
        <w:t>Reformulation again performed best, reinforcing a pattern across tasks: explicit rephrasing of the instruction outperforms both minimal prompting and reasoning-heavy techniques for binary classification-style judgments, though this did not extend to sentiment classification, the other classification task, where reformulation ranked second-to-last.</w:t>
      </w:r>
    </w:p>
    <w:p>
      <w:pPr>
        <w:pStyle w:val="Heading2"/>
      </w:pPr>
      <w:r>
        <w:t>4.6 Cross-Task Synthesis</w:t>
      </w:r>
    </w:p>
    <w:p>
      <w:r>
        <w:t>Across all five tasks, a consistent pattern emerges: elaborate reasoning-oriented techniques (chain-of-thought, self-consistency) do not reliably outperform simpler techniques (zero-shot, few-shot, reformulation) on this model, and in several cases underperform despite substantially higher computational cost. Self-consistency, which requires three times the inference calls, was never the best-performing technique on any task, and was the lowest-scoring technique on sentiment classification (0.6015, narrowly below reformulation at 0.6047). Reformulation — simply rephrasing the instruction with explicit constraints — was the strongest technique on three of five tasks (NER, QA, paraphrase detection) but near the bottom on the other two (second-to-last on sentiment classification and last on summarisation ROUGE-L), so its advantage is task-dependent.</w:t>
      </w:r>
    </w:p>
    <w:p>
      <w:r>
        <w:t>These rankings carry substantial uncertainty. A paired bootstrap (1,000 resamples of the 100 examples per task, with every technique scored on the same resampled examples) found that only 8 of the 33 comparisons between each task's best technique and the others were statistically distinguishable at the 95% level: few-shot CoT over reformulation and self-consistency on sentiment classification; reformulation over structured output and CoT on paraphrase detection, over few-shot CoT on named entity recognition, and over zero-shot on question answering; and few-shot CoT over CoT on summarisation, by a margin of 0.0001 at the lower bound. Reformulation's lead over the second-ranked technique was not statistically distinguishable on any of the three tasks it led. No correction for multiple comparisons was applied, so even these eight differences should be read cautiously. Full intervals are in outputs/tables/bootstrap_ci.csv.</w:t>
      </w:r>
    </w:p>
    <w:p>
      <w:r>
        <w:t>This suggests that for tasks with well-defined, unambiguous objectives, prompt clarity and instruction precision may matter more than reasoning depth or demonstration count — a finding that has practical implications for practitioners choosing prompting strategies under compute or latency constraints.</w:t>
      </w:r>
    </w:p>
    <w:p>
      <w:pPr>
        <w:pStyle w:val="Heading1"/>
      </w:pPr>
      <w:r>
        <w:t>5. Discussion</w:t>
      </w:r>
    </w:p>
    <w:p>
      <w:r>
        <w:t>Reasoning-oriented techniques did not consistently outperform simpler alternatives. Zero-shot CoT never ranked first on any task, and few-shot CoT ranked first on sentiment and summarisation (ROUGE-L) but last on NER. This mixed pattern invites explanation. One plausible interpretation is that chain-of-thought and self-consistency were designed and validated primarily on tasks requiring multi-step deductive or arithmetic reasoning — domains in which an intermediate reasoning trace can meaningfully constrain and improve the final answer. The five tasks evaluated here, by contrast, are largely tasks with a single well-defined correct answer that does not require multi-step derivation: classifying the sentiment of a sentence, extracting named entities, or identifying a paraphrase pair does not obviously benefit from an intermediate reasoning trace in the way that a multi-step arithmetic problem does. Wei et al. (2022) and Kojima et al. (2022) both validated their respective techniques exclusively on reasoning benchmarks; the results here do not contradict their findings so much as they clarify the boundary of where those findings apply — chain-of-thought's benefit appears to be conditional on task structure rather than universal.</w:t>
      </w:r>
    </w:p>
    <w:p>
      <w:r>
        <w:t>The performance of reformulation is a more direct point of interest. Reformulation was the strongest technique on three of five tasks (named entity recognition, question answering, and paraphrase detection) but near the bottom on the other two (second-to-last on sentiment classification and last on summarisation ROUGE-L), so its advantage is task-dependent. Where it led, it required no demonstrations, no additional sampling, and no reasoning trace — only a rephrased instruction with explicit output constraints. A plausible explanation is that many of the failures observed with other techniques were less about the model's underlying task capability and more about output ambiguity: an explicit, tightly constrained instruction may reduce the model's uncertainty about what form its answer should take, independent of whether the model reasons about the task at all. This is consistent with the observation that reformulation's advantage was strongest on QA and paraphrase detection — tasks where the correct output format (a short factual answer; a binary label) is easy to specify precisely, but where free-form model responses can otherwise drift into hedged, verbose, or ambiguously formatted answers.</w:t>
      </w:r>
    </w:p>
    <w:p>
      <w:r>
        <w:t>This finding also complicates a straightforward reading of Wang et al. (2023): self-consistency, despite requiring three times the inference cost of a single-sample technique, was never the best-performing technique on any of the five tasks evaluated here, and was the lowest-scoring technique on sentiment classification. Because self-consistency was validated by its original authors on mathematical reasoning tasks where multiple independent reasoning paths can meaningfully disagree and be resolved by majority vote, its lack of benefit here is consistent with the same task-structure explanation offered above — majority voting over three samples offers limited value when the underlying source of error is not reasoning inconsistency but instruction ambiguity or output formatting variance.</w:t>
      </w:r>
    </w:p>
    <w:p>
      <w:r>
        <w:t>Taken together, these results suggest a practical heuristic: for tasks with a well-defined, unambiguous objective, practitioners may achieve better results, at lower inference cost, by investing effort in instruction clarity rather than adopting the most sophisticated or most expensive available technique. This heuristic is offered cautiously, as a pattern observed under a single model, single seed, and five tasks, rather than a general theoretical claim.</w:t>
      </w:r>
    </w:p>
    <w:p>
      <w:pPr>
        <w:pStyle w:val="Heading1"/>
      </w:pPr>
      <w:r>
        <w:t>6. Limitations</w:t>
      </w:r>
    </w:p>
    <w:p>
      <w:r>
        <w:t>This study was conducted using a single model (openai/gpt-oss-20b, via Groq) and a single random seed (42); no cross-model comparison or run-to-run variance data is available. The paired bootstrap confidence intervals reported in Section 4 capture only the uncertainty from sampling 100 examples per task; they do not capture run-to-run variation or variation across models, and no correction for multiple comparisons was applied.</w:t>
      </w:r>
    </w:p>
    <w:p>
      <w:r>
        <w:t>This release is scoped to English-language tasks only. A cross-lingual extension to Urdu (Roman Urdu sentiment classification and Urdu named entity recognition) was scoped during development, and the corresponding datasets were downloaded and processed, but prompt templates and experiments for these tasks were not completed in time for this release. Urdu evaluation is documented as future work.</w:t>
      </w:r>
    </w:p>
    <w:p>
      <w:r>
        <w:t>Seven of the thirteen question-answering and summarisation results (zero-shot, few-shot, role and structured output on QA; zero-shot, few-shot and structured output on summarisation) were generated prior to the tuning of a reasoning-efficiency inference setting, finalised on 2026-07-28. One of these seven results was independently re-verified from raw model output and confirmed accurate; the remaining six were not individually re-checked, though no quality issues were observed in this group during review. This is disclosed here rather than silently corrected, in keeping with this study's broader commitment to auditable, traceable results.</w:t>
      </w:r>
    </w:p>
    <w:p>
      <w:r>
        <w:t>The BERTScore metric used for summarisation evaluation uses a bert-base-uncased backbone; absolute BERTScore values should be treated as indicative rather than calibrated against stronger, more recent backbone models.</w:t>
      </w:r>
    </w:p>
    <w:p>
      <w:r>
        <w:t>Model and inference caveats. openai/gpt-oss-20b is a reasoning model that produces hidden internal reasoning before its visible answer. These reasoning tokens count against the generation limit. As a result, every technique, including zero-shot, involves some internal reasoning, which likely narrows the measurable benefit of explicit chain-of-thought prompting. It is also the most likely cause of the truncated, empty responses that make up 21 of the 30 remaining parse failures. To limit truncation, question answering and summarisation were run with the provider's reasoning_effort parameter set to "low", while the other three tasks used the provider default. Seven of the thirteen QA and summarisation results were generated before this setting was introduced, so comparisons within those two tasks span two inference configurations. Examples that failed to parse were individually re-queried: 70 re-queries were logged during data collection, of which 47 produced a valid answer, and all remaining failures are scored as incorrect. Re-queries were not applied uniformly across techniques, so flagged counts should not be compared directly between techniques. Re-queries of self-consistency examples were repeated using the full three-sample majority vote. One example that had already produced a valid answer and was re-queried in error has been restored to its original prediction. Three failures caused by network errors rather than model output are also scored as incorrect. BERTScore values are rescaled against the bert-base-uncased baseline (rescale_with_baseline=True), which is why they fall around 0.30 rather than the roughly 0.85 typical of unrescaled scores.</w:t>
      </w:r>
    </w:p>
    <w:p>
      <w:r>
        <w:t>Paraphrase detection is reported using macro F1, consistent with this study's evaluation convention across all classification tasks, rather than GLUE's official binary-F1 convention. As a result, paraphrase scores reported here are not directly comparable to the public MRPC leaderboard without conversion.</w:t>
      </w:r>
    </w:p>
    <w:p>
      <w:r>
        <w:t>Finally, the sentiment and paraphrase datasets exhibit class imbalance relative to a uniform label distribution (sentiment: Positive/Neutral/Negative = 18/48/34; paraphrase: Paraphrase/Not Paraphrase = 76/24), which should be considered when interpreting macro F1 and accuracy for these two tasks.</w:t>
      </w:r>
    </w:p>
    <w:p>
      <w:pPr>
        <w:pStyle w:val="Heading1"/>
      </w:pPr>
      <w:r>
        <w:t>7. Conclusion</w:t>
      </w:r>
    </w:p>
    <w:p>
      <w:r>
        <w:t>This study evaluated eight prompting techniques across five NLP tasks under matched model and inference conditions, addressing a gap in the literature around systematic cross-task comparison of prompting strategies. The central finding is that reasoning-oriented techniques — chain-of-thought and self-consistency — do not reliably outperform simpler techniques, and in several cases underperform despite meaningfully higher inference cost; self-consistency, which requires three times the inference calls of a single-sample technique, was never the best-performing technique on any of the five tasks evaluated. Reformulation, one of the simplest and cheapest techniques evaluated, was the strongest technique on three of five tasks (named entity recognition, question answering, and paraphrase detection) but near the bottom on the other two (second-to-last on sentiment classification and last on summarisation ROUGE-L), so its advantage is task-dependent, suggesting that instruction clarity may matter more than reasoning depth or demonstration count for tasks with well-defined objectives.</w:t>
      </w:r>
    </w:p>
    <w:p>
      <w:r>
        <w:t>Future work should extend this comparison along two directions: completing the cross-lingual arm of this study, for which Urdu datasets have already been processed but prompt templates and experiments remain outstanding, and strengthening the statistical evidence — larger evaluation sets, multi-seed replication, and additional models — since the bootstrap intervals reported here cannot separate most techniques at 100 examples per task.</w:t>
      </w:r>
    </w:p>
    <w:p>
      <w:r>
        <w:t>For practitioners choosing a prompting strategy under real-world cost or latency constraints, these results offer a concrete, if provisional, recommendation: a carefully reformulated instruction is worth including among the candidates tested; it was the best technique on three tasks but near the bottom on the other two, so it should be validated per task rather than adopted by default.</w:t>
      </w:r>
    </w:p>
    <w:p>
      <w:pPr>
        <w:pStyle w:val="Heading1"/>
      </w:pPr>
      <w:r>
        <w:t>References</w:t>
      </w:r>
    </w:p>
    <w:p>
      <w:pPr>
        <w:ind w:left="720" w:hanging="720"/>
      </w:pPr>
      <w:r>
        <w:t>Brown, T., Mann, B., Ryder, N., Subbiah, M., Kaplan, J. D., Dhariwal, P., Neelakantan, A., Shyam, P., Sastry, G., Askell, A., Agarwal, S., Herbert-Voss, A., Krueger, G., Henighan, T., Child, R., Ramesh, A., Ziegler, D., Wu, J., Winter, C., ... Amodei, D. (2020). Language models are few-shot learners. Advances in Neural Information Processing Systems, 33, 1877-1901.</w:t>
      </w:r>
    </w:p>
    <w:p>
      <w:pPr>
        <w:ind w:left="720" w:hanging="720"/>
      </w:pPr>
      <w:r>
        <w:t>Kojima, T., Gu, S. S., Reid, M., Matsuo, Y., &amp; Iwasawa, Y. (2022). Large language models are zero-shot reasoners. Advances in Neural Information Processing Systems, 35, 22199-22213.</w:t>
      </w:r>
    </w:p>
    <w:p>
      <w:pPr>
        <w:ind w:left="720" w:hanging="720"/>
      </w:pPr>
      <w:r>
        <w:t>Liu, P., Yuan, W., Fu, J., Jiang, Z., Hayashi, H., &amp; Neubig, G. (2023). Pre-train, prompt, and predict: A systematic survey of prompting methods in natural language processing. ACM Computing Surveys, 55(9), 1-35.</w:t>
      </w:r>
    </w:p>
    <w:p>
      <w:pPr>
        <w:ind w:left="720" w:hanging="720"/>
      </w:pPr>
      <w:r>
        <w:t>Wang, X., Wei, J., Schuurmans, D., Le, Q., Chi, E., Narang, S., Chowdhery, A., &amp; Zhou, D. (2023). Self-consistency improves chain of thought reasoning in language models. In Proceedings of the International Conference on Learning Representations (ICLR 2023).</w:t>
      </w:r>
    </w:p>
    <w:p>
      <w:pPr>
        <w:ind w:left="720" w:hanging="720"/>
      </w:pPr>
      <w:r>
        <w:t>Wei, J., Wang, X., Schuurmans, D., Bosma, M., Ichter, B., Xia, F., Chi, E., Le, Q., &amp; Zhou, D. (2022). Chain-of-thought prompting elicits reasoning in large language models. Advances in Neural Information Processing Systems, 35, 24824-24837.</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