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10"/>
        <w:jc w:val="center"/>
      </w:pPr>
      <w:r>
        <w:rPr>
          <w:b/>
          <w:bCs/>
          <w:color w:val="1F3864"/>
          <w:sz w:val="56"/>
          <w:szCs w:val="56"/>
        </w:rPr>
        <w:t xml:space="preserve">PracticeLab</w:t>
      </w:r>
    </w:p>
    <w:p>
      <w:pPr>
        <w:spacing w:after="340"/>
        <w:jc w:val="center"/>
      </w:pPr>
      <w:r>
        <w:rPr>
          <w:color w:val="2E75B6"/>
          <w:sz w:val="30"/>
          <w:szCs w:val="30"/>
        </w:rPr>
        <w:t xml:space="preserve">User Guide — Coders and Auditors</w:t>
      </w:r>
    </w:p>
    <w:p>
      <w:pPr>
        <w:pBdr>
          <w:top w:val="single" w:color="BFBFBF" w:sz="6"/>
        </w:pBdr>
        <w:spacing w:after="60"/>
        <w:jc w:val="center"/>
      </w:pPr>
      <w:r>
        <w:t xml:space="preserve"/>
      </w:r>
    </w:p>
    <w:p>
      <w:pPr>
        <w:spacing w:after="90" w:before="220"/>
        <w:jc w:val="center"/>
      </w:pPr>
      <w:r>
        <w:rPr>
          <w:i/>
          <w:iCs/>
          <w:color w:val="595959"/>
          <w:sz w:val="21"/>
          <w:szCs w:val="21"/>
        </w:rPr>
        <w:t xml:space="preserve">Reading charts, coding and auditing assigned work, and sitting assessments</w:t>
      </w:r>
    </w:p>
    <w:p>
      <w:pPr>
        <w:spacing w:after="90"/>
        <w:jc w:val="center"/>
      </w:pPr>
      <w:r>
        <w:rPr>
          <w:color w:val="595959"/>
          <w:sz w:val="20"/>
          <w:szCs w:val="20"/>
        </w:rPr>
        <w:t xml:space="preserve">For: Coders and auditors</w:t>
      </w:r>
    </w:p>
    <w:p>
      <w:pPr>
        <w:spacing w:before="560"/>
        <w:jc w:val="center"/>
      </w:pPr>
      <w:r>
        <w:rPr>
          <w:color w:val="595959"/>
          <w:sz w:val="19"/>
          <w:szCs w:val="19"/>
        </w:rPr>
        <w:t xml:space="preserve">Version 1.0  ·  21 September 2026</w:t>
      </w:r>
    </w:p>
    <w:p>
      <w:r>
        <w:br w:type="page"/>
      </w:r>
    </w:p>
    <w:p>
      <w:pPr>
        <w:pStyle w:val="Heading1"/>
        <w:keepNext/>
        <w:keepLines/>
        <w:spacing w:after="170" w:before="400"/>
      </w:pPr>
      <w:r>
        <w:rPr>
          <w:b/>
          <w:bCs/>
          <w:color w:val="1F3864"/>
          <w:sz w:val="30"/>
          <w:szCs w:val="30"/>
        </w:rPr>
        <w:t xml:space="preserve">About this guide</w:t>
      </w:r>
    </w:p>
    <w:p>
      <w:pPr>
        <w:spacing w:after="130" w:line="285"/>
      </w:pPr>
      <w:r>
        <w:rPr>
          <w:sz w:val="21"/>
          <w:szCs w:val="21"/>
        </w:rPr>
        <w:t xml:space="preserve">Everything you need to use PracticeLab as a coder or an auditor. You will not see the Workspace or any trainer screen, and nothing here needs a password.</w:t>
      </w:r>
    </w:p>
    <w:p>
      <w:pPr>
        <w:pStyle w:val="Heading1"/>
        <w:keepNext/>
        <w:keepLines/>
        <w:spacing w:after="170" w:before="400"/>
      </w:pPr>
      <w:r>
        <w:rPr>
          <w:b/>
          <w:bCs/>
          <w:color w:val="1F3864"/>
          <w:sz w:val="30"/>
          <w:szCs w:val="30"/>
        </w:rPr>
        <w:t xml:space="preserve">Before you start</w:t>
      </w:r>
    </w:p>
    <w:p>
      <w:pPr>
        <w:spacing w:after="130" w:line="285"/>
      </w:pPr>
      <w:r>
        <w:rPr>
          <w:sz w:val="21"/>
          <w:szCs w:val="21"/>
        </w:rPr>
        <w:t xml:space="preserve">PracticeLab is where you read clinical charts, practise coding them, and sit knowledge assessments. You do not need an account or a password. Your trainer gives you a code for each piece of assigned work.</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700"/>
        <w:gridCol w:w="3000"/>
        <w:gridCol w:w="3660"/>
      </w:tblGrid>
      <w:tr>
        <w:trPr>
          <w:tblHeader/>
        </w:trPr>
        <w:tc>
          <w:tcPr>
            <w:tcW w:type="dxa" w:w="2700"/>
            <w:shd w:fill="DCE6F1" w:val="clear"/>
            <w:tcMar>
              <w:top w:type="dxa" w:w="95"/>
              <w:left w:type="dxa" w:w="135"/>
              <w:bottom w:type="dxa" w:w="95"/>
              <w:right w:type="dxa" w:w="135"/>
            </w:tcMar>
          </w:tcPr>
          <w:p>
            <w:r>
              <w:rPr>
                <w:b/>
                <w:bCs/>
                <w:color w:val="1F3864"/>
                <w:sz w:val="20"/>
                <w:szCs w:val="20"/>
              </w:rPr>
              <w:t xml:space="preserve">You want to…</w:t>
            </w:r>
          </w:p>
        </w:tc>
        <w:tc>
          <w:tcPr>
            <w:tcW w:type="dxa" w:w="3000"/>
            <w:shd w:fill="DCE6F1" w:val="clear"/>
            <w:tcMar>
              <w:top w:type="dxa" w:w="95"/>
              <w:left w:type="dxa" w:w="135"/>
              <w:bottom w:type="dxa" w:w="95"/>
              <w:right w:type="dxa" w:w="135"/>
            </w:tcMar>
          </w:tcPr>
          <w:p>
            <w:r>
              <w:rPr>
                <w:b/>
                <w:bCs/>
                <w:color w:val="1F3864"/>
                <w:sz w:val="20"/>
                <w:szCs w:val="20"/>
              </w:rPr>
              <w:t xml:space="preserve">Go to</w:t>
            </w:r>
          </w:p>
        </w:tc>
        <w:tc>
          <w:tcPr>
            <w:tcW w:type="dxa" w:w="3660"/>
            <w:shd w:fill="DCE6F1" w:val="clear"/>
            <w:tcMar>
              <w:top w:type="dxa" w:w="95"/>
              <w:left w:type="dxa" w:w="135"/>
              <w:bottom w:type="dxa" w:w="95"/>
              <w:right w:type="dxa" w:w="135"/>
            </w:tcMar>
          </w:tcPr>
          <w:p>
            <w:r>
              <w:rPr>
                <w:b/>
                <w:bCs/>
                <w:color w:val="1F3864"/>
                <w:sz w:val="20"/>
                <w:szCs w:val="20"/>
              </w:rPr>
              <w:t xml:space="preserve">You need</w:t>
            </w:r>
          </w:p>
        </w:tc>
      </w:tr>
      <w:tr>
        <w:tc>
          <w:tcPr>
            <w:tcW w:type="dxa" w:w="2700"/>
            <w:tcMar>
              <w:top w:type="dxa" w:w="95"/>
              <w:left w:type="dxa" w:w="135"/>
              <w:bottom w:type="dxa" w:w="95"/>
              <w:right w:type="dxa" w:w="135"/>
            </w:tcMar>
          </w:tcPr>
          <w:p>
            <w:r>
              <w:rPr>
                <w:sz w:val="20"/>
                <w:szCs w:val="20"/>
              </w:rPr>
              <w:t xml:space="preserve">Read a chart</w:t>
            </w:r>
          </w:p>
        </w:tc>
        <w:tc>
          <w:tcPr>
            <w:tcW w:type="dxa" w:w="3000"/>
            <w:tcMar>
              <w:top w:type="dxa" w:w="95"/>
              <w:left w:type="dxa" w:w="135"/>
              <w:bottom w:type="dxa" w:w="95"/>
              <w:right w:type="dxa" w:w="135"/>
            </w:tcMar>
          </w:tcPr>
          <w:p>
            <w:r>
              <w:rPr>
                <w:sz w:val="20"/>
                <w:szCs w:val="20"/>
              </w:rPr>
              <w:t xml:space="preserve">The home screen</w:t>
            </w:r>
          </w:p>
        </w:tc>
        <w:tc>
          <w:tcPr>
            <w:tcW w:type="dxa" w:w="3660"/>
            <w:tcMar>
              <w:top w:type="dxa" w:w="95"/>
              <w:left w:type="dxa" w:w="135"/>
              <w:bottom w:type="dxa" w:w="95"/>
              <w:right w:type="dxa" w:w="135"/>
            </w:tcMar>
          </w:tcPr>
          <w:p>
            <w:r>
              <w:rPr>
                <w:sz w:val="20"/>
                <w:szCs w:val="20"/>
              </w:rPr>
              <w:t xml:space="preserve">Nothing</w:t>
            </w:r>
          </w:p>
        </w:tc>
      </w:tr>
      <w:tr>
        <w:tc>
          <w:tcPr>
            <w:tcW w:type="dxa" w:w="2700"/>
            <w:tcMar>
              <w:top w:type="dxa" w:w="95"/>
              <w:left w:type="dxa" w:w="135"/>
              <w:bottom w:type="dxa" w:w="95"/>
              <w:right w:type="dxa" w:w="135"/>
            </w:tcMar>
          </w:tcPr>
          <w:p>
            <w:r>
              <w:rPr>
                <w:sz w:val="20"/>
                <w:szCs w:val="20"/>
              </w:rPr>
              <w:t xml:space="preserve">Code assigned charts</w:t>
            </w:r>
          </w:p>
        </w:tc>
        <w:tc>
          <w:tcPr>
            <w:tcW w:type="dxa" w:w="3000"/>
            <w:tcMar>
              <w:top w:type="dxa" w:w="95"/>
              <w:left w:type="dxa" w:w="135"/>
              <w:bottom w:type="dxa" w:w="95"/>
              <w:right w:type="dxa" w:w="135"/>
            </w:tcMar>
          </w:tcPr>
          <w:p>
            <w:r>
              <w:rPr>
                <w:sz w:val="20"/>
                <w:szCs w:val="20"/>
              </w:rPr>
              <w:t xml:space="preserve">Practice (right-hand side)</w:t>
            </w:r>
          </w:p>
        </w:tc>
        <w:tc>
          <w:tcPr>
            <w:tcW w:type="dxa" w:w="3660"/>
            <w:tcMar>
              <w:top w:type="dxa" w:w="95"/>
              <w:left w:type="dxa" w:w="135"/>
              <w:bottom w:type="dxa" w:w="95"/>
              <w:right w:type="dxa" w:w="135"/>
            </w:tcMar>
          </w:tcPr>
          <w:p>
            <w:r>
              <w:rPr>
                <w:sz w:val="20"/>
                <w:szCs w:val="20"/>
              </w:rPr>
              <w:t xml:space="preserve">An access code, e.g. PRC-ABCD1234</w:t>
            </w:r>
          </w:p>
        </w:tc>
      </w:tr>
      <w:tr>
        <w:tc>
          <w:tcPr>
            <w:tcW w:type="dxa" w:w="2700"/>
            <w:tcMar>
              <w:top w:type="dxa" w:w="95"/>
              <w:left w:type="dxa" w:w="135"/>
              <w:bottom w:type="dxa" w:w="95"/>
              <w:right w:type="dxa" w:w="135"/>
            </w:tcMar>
          </w:tcPr>
          <w:p>
            <w:r>
              <w:rPr>
                <w:sz w:val="20"/>
                <w:szCs w:val="20"/>
              </w:rPr>
              <w:t xml:space="preserve">Audit assigned charts</w:t>
            </w:r>
          </w:p>
        </w:tc>
        <w:tc>
          <w:tcPr>
            <w:tcW w:type="dxa" w:w="3000"/>
            <w:tcMar>
              <w:top w:type="dxa" w:w="95"/>
              <w:left w:type="dxa" w:w="135"/>
              <w:bottom w:type="dxa" w:w="95"/>
              <w:right w:type="dxa" w:w="135"/>
            </w:tcMar>
          </w:tcPr>
          <w:p>
            <w:r>
              <w:rPr>
                <w:sz w:val="20"/>
                <w:szCs w:val="20"/>
              </w:rPr>
              <w:t xml:space="preserve">Practice (same place)</w:t>
            </w:r>
          </w:p>
        </w:tc>
        <w:tc>
          <w:tcPr>
            <w:tcW w:type="dxa" w:w="3660"/>
            <w:tcMar>
              <w:top w:type="dxa" w:w="95"/>
              <w:left w:type="dxa" w:w="135"/>
              <w:bottom w:type="dxa" w:w="95"/>
              <w:right w:type="dxa" w:w="135"/>
            </w:tcMar>
          </w:tcPr>
          <w:p>
            <w:r>
              <w:rPr>
                <w:sz w:val="20"/>
                <w:szCs w:val="20"/>
              </w:rPr>
              <w:t xml:space="preserve">An audit code, e.g. AUD-ABCD1234</w:t>
            </w:r>
          </w:p>
        </w:tc>
      </w:tr>
      <w:tr>
        <w:tc>
          <w:tcPr>
            <w:tcW w:type="dxa" w:w="2700"/>
            <w:tcMar>
              <w:top w:type="dxa" w:w="95"/>
              <w:left w:type="dxa" w:w="135"/>
              <w:bottom w:type="dxa" w:w="95"/>
              <w:right w:type="dxa" w:w="135"/>
            </w:tcMar>
          </w:tcPr>
          <w:p>
            <w:r>
              <w:rPr>
                <w:sz w:val="20"/>
                <w:szCs w:val="20"/>
              </w:rPr>
              <w:t xml:space="preserve">Sit an assessment</w:t>
            </w:r>
          </w:p>
        </w:tc>
        <w:tc>
          <w:tcPr>
            <w:tcW w:type="dxa" w:w="3000"/>
            <w:tcMar>
              <w:top w:type="dxa" w:w="95"/>
              <w:left w:type="dxa" w:w="135"/>
              <w:bottom w:type="dxa" w:w="95"/>
              <w:right w:type="dxa" w:w="135"/>
            </w:tcMar>
          </w:tcPr>
          <w:p>
            <w:r>
              <w:rPr>
                <w:sz w:val="20"/>
                <w:szCs w:val="20"/>
              </w:rPr>
              <w:t xml:space="preserve">Assessment (right-hand side)</w:t>
            </w:r>
          </w:p>
        </w:tc>
        <w:tc>
          <w:tcPr>
            <w:tcW w:type="dxa" w:w="3660"/>
            <w:tcMar>
              <w:top w:type="dxa" w:w="95"/>
              <w:left w:type="dxa" w:w="135"/>
              <w:bottom w:type="dxa" w:w="95"/>
              <w:right w:type="dxa" w:w="135"/>
            </w:tcMar>
          </w:tcPr>
          <w:p>
            <w:r>
              <w:rPr>
                <w:sz w:val="20"/>
                <w:szCs w:val="20"/>
              </w:rPr>
              <w:t xml:space="preserve">An Assessment ID, e.g. ASM-X7K2M9QP</w:t>
            </w:r>
          </w:p>
        </w:tc>
      </w:tr>
    </w:tbl>
    <w:p>
      <w:pPr>
        <w:spacing w:after="100" w:before="0" w:line="20"/>
      </w:pP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Your code is personal</w:t>
            </w:r>
          </w:p>
          <w:p>
            <w:pPr>
              <w:spacing w:after="65" w:line="285"/>
            </w:pPr>
            <w:r>
              <w:rPr>
                <w:sz w:val="21"/>
                <w:szCs w:val="21"/>
              </w:rPr>
              <w:t xml:space="preserve">A code opens one person’s work. Do not share it and do not use anyone else’s. Your results are recorded against the name and employee ID the code was issued to.</w:t>
            </w:r>
          </w:p>
        </w:tc>
      </w:tr>
    </w:tbl>
    <w:p>
      <w:pPr>
        <w:spacing w:after="100" w:before="0" w:line="20"/>
      </w:pPr>
    </w:p>
    <w:p>
      <w:pPr>
        <w:spacing w:after="130" w:line="285"/>
      </w:pPr>
      <w:r>
        <w:rPr>
          <w:sz w:val="21"/>
          <w:szCs w:val="21"/>
        </w:rPr>
        <w:t xml:space="preserve">The first time you open PracticeLab it asks your name. That name is stored in your browser only. It labels what you do; it is not a login.</w:t>
      </w:r>
    </w:p>
    <w:p>
      <w:pPr>
        <w:pStyle w:val="Heading1"/>
        <w:keepNext/>
        <w:keepLines/>
        <w:spacing w:after="170" w:before="400"/>
      </w:pPr>
      <w:r>
        <w:rPr>
          <w:b/>
          <w:bCs/>
          <w:color w:val="1F3864"/>
          <w:sz w:val="30"/>
          <w:szCs w:val="30"/>
        </w:rPr>
        <w:t xml:space="preserve">Finding and reading charts</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home screen. Search sits at the top and Coding Resources below it; Recently Viewed appears once you have opened a few charts.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Search bar</w:t>
            </w:r>
          </w:p>
        </w:tc>
        <w:tc>
          <w:tcPr>
            <w:tcW w:type="dxa" w:w="6760"/>
            <w:tcMar>
              <w:top w:type="dxa" w:w="95"/>
              <w:left w:type="dxa" w:w="135"/>
              <w:bottom w:type="dxa" w:w="95"/>
              <w:right w:type="dxa" w:w="135"/>
            </w:tcMar>
          </w:tcPr>
          <w:p>
            <w:r>
              <w:rPr>
                <w:sz w:val="20"/>
                <w:szCs w:val="20"/>
              </w:rPr>
              <w:t xml:space="preserve">Type a chart number (IP048) or a word. You can also leave it empty and search by specialty alone.</w:t>
            </w:r>
          </w:p>
        </w:tc>
      </w:tr>
      <w:tr>
        <w:tc>
          <w:tcPr>
            <w:tcW w:type="dxa" w:w="2600"/>
            <w:tcMar>
              <w:top w:type="dxa" w:w="95"/>
              <w:left w:type="dxa" w:w="135"/>
              <w:bottom w:type="dxa" w:w="95"/>
              <w:right w:type="dxa" w:w="135"/>
            </w:tcMar>
          </w:tcPr>
          <w:p>
            <w:r>
              <w:rPr>
                <w:sz w:val="20"/>
                <w:szCs w:val="20"/>
              </w:rPr>
              <w:t xml:space="preserve">Specialty and Category</w:t>
            </w:r>
          </w:p>
        </w:tc>
        <w:tc>
          <w:tcPr>
            <w:tcW w:type="dxa" w:w="6760"/>
            <w:tcMar>
              <w:top w:type="dxa" w:w="95"/>
              <w:left w:type="dxa" w:w="135"/>
              <w:bottom w:type="dxa" w:w="95"/>
              <w:right w:type="dxa" w:w="135"/>
            </w:tcMar>
          </w:tcPr>
          <w:p>
            <w:r>
              <w:rPr>
                <w:sz w:val="20"/>
                <w:szCs w:val="20"/>
              </w:rPr>
              <w:t xml:space="preserve">Narrow the list. Category options follow the specialty you pick.</w:t>
            </w:r>
          </w:p>
        </w:tc>
      </w:tr>
      <w:tr>
        <w:tc>
          <w:tcPr>
            <w:tcW w:type="dxa" w:w="2600"/>
            <w:tcMar>
              <w:top w:type="dxa" w:w="95"/>
              <w:left w:type="dxa" w:w="135"/>
              <w:bottom w:type="dxa" w:w="95"/>
              <w:right w:type="dxa" w:w="135"/>
            </w:tcMar>
          </w:tcPr>
          <w:p>
            <w:r>
              <w:rPr>
                <w:sz w:val="20"/>
                <w:szCs w:val="20"/>
              </w:rPr>
              <w:t xml:space="preserve">Recently Viewed</w:t>
            </w:r>
          </w:p>
        </w:tc>
        <w:tc>
          <w:tcPr>
            <w:tcW w:type="dxa" w:w="6760"/>
            <w:tcMar>
              <w:top w:type="dxa" w:w="95"/>
              <w:left w:type="dxa" w:w="135"/>
              <w:bottom w:type="dxa" w:w="95"/>
              <w:right w:type="dxa" w:w="135"/>
            </w:tcMar>
          </w:tcPr>
          <w:p>
            <w:r>
              <w:rPr>
                <w:sz w:val="20"/>
                <w:szCs w:val="20"/>
              </w:rPr>
              <w:t xml:space="preserve">The last charts this browser opened, for quick return.</w:t>
            </w:r>
          </w:p>
        </w:tc>
      </w:tr>
      <w:tr>
        <w:tc>
          <w:tcPr>
            <w:tcW w:type="dxa" w:w="2600"/>
            <w:tcMar>
              <w:top w:type="dxa" w:w="95"/>
              <w:left w:type="dxa" w:w="135"/>
              <w:bottom w:type="dxa" w:w="95"/>
              <w:right w:type="dxa" w:w="135"/>
            </w:tcMar>
          </w:tcPr>
          <w:p>
            <w:r>
              <w:rPr>
                <w:sz w:val="20"/>
                <w:szCs w:val="20"/>
              </w:rPr>
              <w:t xml:space="preserve">Coding Resources</w:t>
            </w:r>
          </w:p>
        </w:tc>
        <w:tc>
          <w:tcPr>
            <w:tcW w:type="dxa" w:w="6760"/>
            <w:tcMar>
              <w:top w:type="dxa" w:w="95"/>
              <w:left w:type="dxa" w:w="135"/>
              <w:bottom w:type="dxa" w:w="95"/>
              <w:right w:type="dxa" w:w="135"/>
            </w:tcMar>
          </w:tcPr>
          <w:p>
            <w:r>
              <w:rPr>
                <w:sz w:val="20"/>
                <w:szCs w:val="20"/>
              </w:rPr>
              <w:t xml:space="preserve">Reference links your trainers publish — guidelines, code books, policies.</w:t>
            </w:r>
          </w:p>
        </w:tc>
      </w:tr>
      <w:tr>
        <w:tc>
          <w:tcPr>
            <w:tcW w:type="dxa" w:w="2600"/>
            <w:tcMar>
              <w:top w:type="dxa" w:w="95"/>
              <w:left w:type="dxa" w:w="135"/>
              <w:bottom w:type="dxa" w:w="95"/>
              <w:right w:type="dxa" w:w="135"/>
            </w:tcMar>
          </w:tcPr>
          <w:p>
            <w:r>
              <w:rPr>
                <w:sz w:val="20"/>
                <w:szCs w:val="20"/>
              </w:rPr>
              <w:t xml:space="preserve">Practice / Assessment</w:t>
            </w:r>
          </w:p>
        </w:tc>
        <w:tc>
          <w:tcPr>
            <w:tcW w:type="dxa" w:w="6760"/>
            <w:tcMar>
              <w:top w:type="dxa" w:w="95"/>
              <w:left w:type="dxa" w:w="135"/>
              <w:bottom w:type="dxa" w:w="95"/>
              <w:right w:type="dxa" w:w="135"/>
            </w:tcMar>
          </w:tcPr>
          <w:p>
            <w:r>
              <w:rPr>
                <w:sz w:val="20"/>
                <w:szCs w:val="20"/>
              </w:rPr>
              <w:t xml:space="preserve">The two buttons on the right edge. This is where assigned work starts.</w:t>
            </w:r>
          </w:p>
        </w:tc>
      </w:tr>
    </w:tbl>
    <w:p>
      <w:pPr>
        <w:spacing w:after="100" w:before="0" w:line="20"/>
      </w:pPr>
    </w:p>
    <w:p>
      <w:pPr>
        <w:pStyle w:val="Heading2"/>
        <w:keepNext/>
        <w:keepLines/>
        <w:spacing w:after="130" w:before="300"/>
      </w:pPr>
      <w:r>
        <w:rPr>
          <w:b/>
          <w:bCs/>
          <w:color w:val="1F3864"/>
          <w:sz w:val="24"/>
          <w:szCs w:val="24"/>
        </w:rPr>
        <w:t xml:space="preserve">How to find a chart</w:t>
      </w:r>
    </w:p>
    <w:p>
      <w:pPr>
        <w:pStyle w:val="ListParagraph"/>
        <w:numPr>
          <w:ilvl w:val="0"/>
          <w:numId w:val="2"/>
        </w:numPr>
        <w:spacing w:after="85" w:line="285"/>
      </w:pPr>
      <w:r>
        <w:rPr>
          <w:sz w:val="21"/>
          <w:szCs w:val="21"/>
        </w:rPr>
        <w:t xml:space="preserve">Type the chart number or a word, or pick a specialty.</w:t>
      </w:r>
    </w:p>
    <w:p>
      <w:pPr>
        <w:pStyle w:val="ListParagraph"/>
        <w:numPr>
          <w:ilvl w:val="0"/>
          <w:numId w:val="2"/>
        </w:numPr>
        <w:spacing w:after="85" w:line="285"/>
      </w:pPr>
      <w:r>
        <w:rPr>
          <w:sz w:val="21"/>
          <w:szCs w:val="21"/>
        </w:rPr>
        <w:t xml:space="preserve">Press Search. Results list the chart number, specialty and category.</w:t>
      </w:r>
    </w:p>
    <w:p>
      <w:pPr>
        <w:pStyle w:val="ListParagraph"/>
        <w:numPr>
          <w:ilvl w:val="0"/>
          <w:numId w:val="2"/>
        </w:numPr>
        <w:spacing w:after="85" w:line="285"/>
      </w:pPr>
      <w:r>
        <w:rPr>
          <w:sz w:val="21"/>
          <w:szCs w:val="21"/>
        </w:rPr>
        <w:t xml:space="preserve">Click a result to open it. Press the × in the search bar to clear the search and return to the home screen.</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A search in progress. Resources move to a strip at the top while results are showing.</w:t>
      </w:r>
    </w:p>
    <w:p>
      <w:pPr>
        <w:pStyle w:val="Heading2"/>
        <w:keepNext/>
        <w:keepLines/>
        <w:spacing w:after="130" w:before="300"/>
      </w:pPr>
      <w:r>
        <w:rPr>
          <w:b/>
          <w:bCs/>
          <w:color w:val="1F3864"/>
          <w:sz w:val="24"/>
          <w:szCs w:val="24"/>
        </w:rPr>
        <w:t xml:space="preserve">The chart viewer</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viewer in Image mode — the pages exactly as scanned.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rPr>
          <w:tblHeader/>
        </w:trPr>
        <w:tc>
          <w:tcPr>
            <w:tcW w:type="dxa" w:w="3200"/>
            <w:shd w:fill="DCE6F1" w:val="clear"/>
            <w:tcMar>
              <w:top w:type="dxa" w:w="95"/>
              <w:left w:type="dxa" w:w="135"/>
              <w:bottom w:type="dxa" w:w="95"/>
              <w:right w:type="dxa" w:w="135"/>
            </w:tcMar>
          </w:tcPr>
          <w:p>
            <w:r>
              <w:rPr>
                <w:b/>
                <w:bCs/>
                <w:color w:val="1F3864"/>
                <w:sz w:val="20"/>
                <w:szCs w:val="20"/>
              </w:rPr>
              <w:t xml:space="preserve">Control</w:t>
            </w:r>
          </w:p>
        </w:tc>
        <w:tc>
          <w:tcPr>
            <w:tcW w:type="dxa" w:w="6160"/>
            <w:shd w:fill="DCE6F1" w:val="clear"/>
            <w:tcMar>
              <w:top w:type="dxa" w:w="95"/>
              <w:left w:type="dxa" w:w="135"/>
              <w:bottom w:type="dxa" w:w="95"/>
              <w:right w:type="dxa" w:w="135"/>
            </w:tcMar>
          </w:tcPr>
          <w:p>
            <w:r>
              <w:rPr>
                <w:b/>
                <w:bCs/>
                <w:color w:val="1F3864"/>
                <w:sz w:val="20"/>
                <w:szCs w:val="20"/>
              </w:rPr>
              <w:t xml:space="preserve">What it does</w:t>
            </w:r>
          </w:p>
        </w:tc>
      </w:tr>
      <w:tr>
        <w:tc>
          <w:tcPr>
            <w:tcW w:type="dxa" w:w="3200"/>
            <w:tcMar>
              <w:top w:type="dxa" w:w="95"/>
              <w:left w:type="dxa" w:w="135"/>
              <w:bottom w:type="dxa" w:w="95"/>
              <w:right w:type="dxa" w:w="135"/>
            </w:tcMar>
          </w:tcPr>
          <w:p>
            <w:r>
              <w:rPr>
                <w:sz w:val="20"/>
                <w:szCs w:val="20"/>
              </w:rPr>
              <w:t xml:space="preserve">Thumbnails (grid icon)</w:t>
            </w:r>
          </w:p>
        </w:tc>
        <w:tc>
          <w:tcPr>
            <w:tcW w:type="dxa" w:w="6160"/>
            <w:tcMar>
              <w:top w:type="dxa" w:w="95"/>
              <w:left w:type="dxa" w:w="135"/>
              <w:bottom w:type="dxa" w:w="95"/>
              <w:right w:type="dxa" w:w="135"/>
            </w:tcMar>
          </w:tcPr>
          <w:p>
            <w:r>
              <w:rPr>
                <w:sz w:val="20"/>
                <w:szCs w:val="20"/>
              </w:rPr>
              <w:t xml:space="preserve">Show every page as a small preview; click one to jump to it.</w:t>
            </w:r>
          </w:p>
        </w:tc>
      </w:tr>
      <w:tr>
        <w:tc>
          <w:tcPr>
            <w:tcW w:type="dxa" w:w="3200"/>
            <w:tcMar>
              <w:top w:type="dxa" w:w="95"/>
              <w:left w:type="dxa" w:w="135"/>
              <w:bottom w:type="dxa" w:w="95"/>
              <w:right w:type="dxa" w:w="135"/>
            </w:tcMar>
          </w:tcPr>
          <w:p>
            <w:r>
              <w:rPr>
                <w:sz w:val="20"/>
                <w:szCs w:val="20"/>
              </w:rPr>
              <w:t xml:space="preserve">Image / Text</w:t>
            </w:r>
          </w:p>
        </w:tc>
        <w:tc>
          <w:tcPr>
            <w:tcW w:type="dxa" w:w="6160"/>
            <w:tcMar>
              <w:top w:type="dxa" w:w="95"/>
              <w:left w:type="dxa" w:w="135"/>
              <w:bottom w:type="dxa" w:w="95"/>
              <w:right w:type="dxa" w:w="135"/>
            </w:tcMar>
          </w:tcPr>
          <w:p>
            <w:r>
              <w:rPr>
                <w:sz w:val="20"/>
                <w:szCs w:val="20"/>
              </w:rPr>
              <w:t xml:space="preserve">Switch between the scanned page and its extracted text. Text is easier to search and select.</w:t>
            </w:r>
          </w:p>
        </w:tc>
      </w:tr>
      <w:tr>
        <w:tc>
          <w:tcPr>
            <w:tcW w:type="dxa" w:w="3200"/>
            <w:tcMar>
              <w:top w:type="dxa" w:w="95"/>
              <w:left w:type="dxa" w:w="135"/>
              <w:bottom w:type="dxa" w:w="95"/>
              <w:right w:type="dxa" w:w="135"/>
            </w:tcMar>
          </w:tcPr>
          <w:p>
            <w:r>
              <w:rPr>
                <w:sz w:val="20"/>
                <w:szCs w:val="20"/>
              </w:rPr>
              <w:t xml:space="preserve">Search (magnifier, or Ctrl+F)</w:t>
            </w:r>
          </w:p>
        </w:tc>
        <w:tc>
          <w:tcPr>
            <w:tcW w:type="dxa" w:w="6160"/>
            <w:tcMar>
              <w:top w:type="dxa" w:w="95"/>
              <w:left w:type="dxa" w:w="135"/>
              <w:bottom w:type="dxa" w:w="95"/>
              <w:right w:type="dxa" w:w="135"/>
            </w:tcMar>
          </w:tcPr>
          <w:p>
            <w:r>
              <w:rPr>
                <w:sz w:val="20"/>
                <w:szCs w:val="20"/>
              </w:rPr>
              <w:t xml:space="preserve">Find a word anywhere in the chart. Matches appear as page snippets with the word highlighted.</w:t>
            </w:r>
          </w:p>
        </w:tc>
      </w:tr>
      <w:tr>
        <w:tc>
          <w:tcPr>
            <w:tcW w:type="dxa" w:w="3200"/>
            <w:tcMar>
              <w:top w:type="dxa" w:w="95"/>
              <w:left w:type="dxa" w:w="135"/>
              <w:bottom w:type="dxa" w:w="95"/>
              <w:right w:type="dxa" w:w="135"/>
            </w:tcMar>
          </w:tcPr>
          <w:p>
            <w:r>
              <w:rPr>
                <w:sz w:val="20"/>
                <w:szCs w:val="20"/>
              </w:rPr>
              <w:t xml:space="preserve">Copy</w:t>
            </w:r>
          </w:p>
        </w:tc>
        <w:tc>
          <w:tcPr>
            <w:tcW w:type="dxa" w:w="6160"/>
            <w:tcMar>
              <w:top w:type="dxa" w:w="95"/>
              <w:left w:type="dxa" w:w="135"/>
              <w:bottom w:type="dxa" w:w="95"/>
              <w:right w:type="dxa" w:w="135"/>
            </w:tcMar>
          </w:tcPr>
          <w:p>
            <w:r>
              <w:rPr>
                <w:sz w:val="20"/>
                <w:szCs w:val="20"/>
              </w:rPr>
              <w:t xml:space="preserve">Copies the chart number.</w:t>
            </w:r>
          </w:p>
        </w:tc>
      </w:tr>
      <w:tr>
        <w:tc>
          <w:tcPr>
            <w:tcW w:type="dxa" w:w="3200"/>
            <w:tcMar>
              <w:top w:type="dxa" w:w="95"/>
              <w:left w:type="dxa" w:w="135"/>
              <w:bottom w:type="dxa" w:w="95"/>
              <w:right w:type="dxa" w:w="135"/>
            </w:tcMar>
          </w:tcPr>
          <w:p>
            <w:r>
              <w:rPr>
                <w:sz w:val="20"/>
                <w:szCs w:val="20"/>
              </w:rPr>
              <w:t xml:space="preserve">Zoom in / out, Fit width, Fit page, Rotate</w:t>
            </w:r>
          </w:p>
        </w:tc>
        <w:tc>
          <w:tcPr>
            <w:tcW w:type="dxa" w:w="6160"/>
            <w:tcMar>
              <w:top w:type="dxa" w:w="95"/>
              <w:left w:type="dxa" w:w="135"/>
              <w:bottom w:type="dxa" w:w="95"/>
              <w:right w:type="dxa" w:w="135"/>
            </w:tcMar>
          </w:tcPr>
          <w:p>
            <w:r>
              <w:rPr>
                <w:sz w:val="20"/>
                <w:szCs w:val="20"/>
              </w:rPr>
              <w:t xml:space="preserve">Adjust how the page sits on screen.</w:t>
            </w:r>
          </w:p>
        </w:tc>
      </w:tr>
      <w:tr>
        <w:tc>
          <w:tcPr>
            <w:tcW w:type="dxa" w:w="3200"/>
            <w:tcMar>
              <w:top w:type="dxa" w:w="95"/>
              <w:left w:type="dxa" w:w="135"/>
              <w:bottom w:type="dxa" w:w="95"/>
              <w:right w:type="dxa" w:w="135"/>
            </w:tcMar>
          </w:tcPr>
          <w:p>
            <w:r>
              <w:rPr>
                <w:sz w:val="20"/>
                <w:szCs w:val="20"/>
              </w:rPr>
              <w:t xml:space="preserve">Flag</w:t>
            </w:r>
          </w:p>
        </w:tc>
        <w:tc>
          <w:tcPr>
            <w:tcW w:type="dxa" w:w="6160"/>
            <w:tcMar>
              <w:top w:type="dxa" w:w="95"/>
              <w:left w:type="dxa" w:w="135"/>
              <w:bottom w:type="dxa" w:w="95"/>
              <w:right w:type="dxa" w:w="135"/>
            </w:tcMar>
          </w:tcPr>
          <w:p>
            <w:r>
              <w:rPr>
                <w:sz w:val="20"/>
                <w:szCs w:val="20"/>
              </w:rPr>
              <w:t xml:space="preserve">Report a problem with the chart — see below.</w:t>
            </w:r>
          </w:p>
        </w:tc>
      </w:tr>
      <w:tr>
        <w:tc>
          <w:tcPr>
            <w:tcW w:type="dxa" w:w="3200"/>
            <w:tcMar>
              <w:top w:type="dxa" w:w="95"/>
              <w:left w:type="dxa" w:w="135"/>
              <w:bottom w:type="dxa" w:w="95"/>
              <w:right w:type="dxa" w:w="135"/>
            </w:tcMar>
          </w:tcPr>
          <w:p>
            <w:r>
              <w:rPr>
                <w:sz w:val="20"/>
                <w:szCs w:val="20"/>
              </w:rPr>
              <w:t xml:space="preserve">× or Esc</w:t>
            </w:r>
          </w:p>
        </w:tc>
        <w:tc>
          <w:tcPr>
            <w:tcW w:type="dxa" w:w="6160"/>
            <w:tcMar>
              <w:top w:type="dxa" w:w="95"/>
              <w:left w:type="dxa" w:w="135"/>
              <w:bottom w:type="dxa" w:w="95"/>
              <w:right w:type="dxa" w:w="135"/>
            </w:tcMar>
          </w:tcPr>
          <w:p>
            <w:r>
              <w:rPr>
                <w:sz w:val="20"/>
                <w:szCs w:val="20"/>
              </w:rPr>
              <w:t xml:space="preserve">Close the viewer.</w:t>
            </w:r>
          </w:p>
        </w:tc>
      </w:tr>
      <w:tr>
        <w:tc>
          <w:tcPr>
            <w:tcW w:type="dxa" w:w="3200"/>
            <w:tcMar>
              <w:top w:type="dxa" w:w="95"/>
              <w:left w:type="dxa" w:w="135"/>
              <w:bottom w:type="dxa" w:w="95"/>
              <w:right w:type="dxa" w:w="135"/>
            </w:tcMar>
          </w:tcPr>
          <w:p>
            <w:r>
              <w:rPr>
                <w:sz w:val="20"/>
                <w:szCs w:val="20"/>
              </w:rPr>
              <w:t xml:space="preserve">← → keys</w:t>
            </w:r>
          </w:p>
        </w:tc>
        <w:tc>
          <w:tcPr>
            <w:tcW w:type="dxa" w:w="6160"/>
            <w:tcMar>
              <w:top w:type="dxa" w:w="95"/>
              <w:left w:type="dxa" w:w="135"/>
              <w:bottom w:type="dxa" w:w="95"/>
              <w:right w:type="dxa" w:w="135"/>
            </w:tcMar>
          </w:tcPr>
          <w:p>
            <w:r>
              <w:rPr>
                <w:sz w:val="20"/>
                <w:szCs w:val="20"/>
              </w:rPr>
              <w:t xml:space="preserve">Previous and next page.</w:t>
            </w:r>
          </w:p>
        </w:tc>
      </w:tr>
    </w:tbl>
    <w:p>
      <w:pPr>
        <w:spacing w:after="100" w:before="0" w:line="20"/>
      </w:pP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Text mode with a search running. Each snippet is a page with a match; the arrows step through them.</w:t>
      </w:r>
    </w:p>
    <w:p>
      <w:pPr>
        <w:pStyle w:val="Heading2"/>
        <w:keepNext/>
        <w:keepLines/>
        <w:spacing w:after="130" w:before="300"/>
      </w:pPr>
      <w:r>
        <w:rPr>
          <w:b/>
          <w:bCs/>
          <w:color w:val="1F3864"/>
          <w:sz w:val="24"/>
          <w:szCs w:val="24"/>
        </w:rPr>
        <w:t xml:space="preserve">How to search inside a chart</w:t>
      </w:r>
    </w:p>
    <w:p>
      <w:pPr>
        <w:pStyle w:val="ListParagraph"/>
        <w:numPr>
          <w:ilvl w:val="0"/>
          <w:numId w:val="3"/>
        </w:numPr>
        <w:spacing w:after="85" w:line="285"/>
      </w:pPr>
      <w:r>
        <w:rPr>
          <w:sz w:val="21"/>
          <w:szCs w:val="21"/>
        </w:rPr>
        <w:t xml:space="preserve">Press Ctrl+F (or the magnifier) and type a word.</w:t>
      </w:r>
    </w:p>
    <w:p>
      <w:pPr>
        <w:pStyle w:val="ListParagraph"/>
        <w:numPr>
          <w:ilvl w:val="0"/>
          <w:numId w:val="3"/>
        </w:numPr>
        <w:spacing w:after="85" w:line="285"/>
      </w:pPr>
      <w:r>
        <w:rPr>
          <w:sz w:val="21"/>
          <w:szCs w:val="21"/>
        </w:rPr>
        <w:t xml:space="preserve">Press Search. The count shows how many pages matched.</w:t>
      </w:r>
    </w:p>
    <w:p>
      <w:pPr>
        <w:pStyle w:val="ListParagraph"/>
        <w:numPr>
          <w:ilvl w:val="0"/>
          <w:numId w:val="3"/>
        </w:numPr>
        <w:spacing w:after="85" w:line="285"/>
      </w:pPr>
      <w:r>
        <w:rPr>
          <w:sz w:val="21"/>
          <w:szCs w:val="21"/>
        </w:rPr>
        <w:t xml:space="preserve">Click a snippet, or use the up and down arrows, to move between matches.</w:t>
      </w:r>
    </w:p>
    <w:p>
      <w:pPr>
        <w:pStyle w:val="ListParagraph"/>
        <w:numPr>
          <w:ilvl w:val="0"/>
          <w:numId w:val="3"/>
        </w:numPr>
        <w:spacing w:after="85" w:line="285"/>
      </w:pPr>
      <w:r>
        <w:rPr>
          <w:sz w:val="21"/>
          <w:szCs w:val="21"/>
        </w:rPr>
        <w:t xml:space="preserve">Press × to clear. If a chart says text is not available, it was scanned without readable text — use Image mode.</w:t>
      </w:r>
    </w:p>
    <w:p>
      <w:pPr>
        <w:pStyle w:val="Heading2"/>
        <w:keepNext/>
        <w:keepLines/>
        <w:spacing w:after="130" w:before="300"/>
      </w:pPr>
      <w:r>
        <w:rPr>
          <w:b/>
          <w:bCs/>
          <w:color w:val="1F3864"/>
          <w:sz w:val="24"/>
          <w:szCs w:val="24"/>
        </w:rPr>
        <w:t xml:space="preserve">Reporting a problem with a chart</w:t>
      </w:r>
    </w:p>
    <w:p>
      <w:pPr>
        <w:spacing w:after="130" w:line="285"/>
      </w:pPr>
      <w:r>
        <w:rPr>
          <w:sz w:val="21"/>
          <w:szCs w:val="21"/>
        </w:rPr>
        <w:t xml:space="preserve">Use the flag icon when a page is unreadable, a document is missing, or something on the page should not be there. Choose the problem, add a note if it helps, and send it. It goes straight to your trainers’ Feedback queue.</w:t>
      </w:r>
    </w:p>
    <w:p>
      <w:pPr>
        <w:pStyle w:val="Heading1"/>
        <w:keepNext/>
        <w:keepLines/>
        <w:spacing w:after="170" w:before="400"/>
      </w:pPr>
      <w:r>
        <w:rPr>
          <w:b/>
          <w:bCs/>
          <w:color w:val="1F3864"/>
          <w:sz w:val="30"/>
          <w:szCs w:val="30"/>
        </w:rPr>
        <w:t xml:space="preserve">Coding assigned charts (Practice)</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Practice entry page. Coding codes and audit codes both work here.</w:t>
      </w:r>
    </w:p>
    <w:p>
      <w:pPr>
        <w:pStyle w:val="Heading2"/>
        <w:keepNext/>
        <w:keepLines/>
        <w:spacing w:after="130" w:before="300"/>
      </w:pPr>
      <w:r>
        <w:rPr>
          <w:b/>
          <w:bCs/>
          <w:color w:val="1F3864"/>
          <w:sz w:val="24"/>
          <w:szCs w:val="24"/>
        </w:rPr>
        <w:t xml:space="preserve">How to start</w:t>
      </w:r>
    </w:p>
    <w:p>
      <w:pPr>
        <w:pStyle w:val="ListParagraph"/>
        <w:numPr>
          <w:ilvl w:val="0"/>
          <w:numId w:val="4"/>
        </w:numPr>
        <w:spacing w:after="85" w:line="285"/>
      </w:pPr>
      <w:r>
        <w:rPr>
          <w:sz w:val="21"/>
          <w:szCs w:val="21"/>
        </w:rPr>
        <w:t xml:space="preserve">On the home screen, click Practice on the right edge.</w:t>
      </w:r>
    </w:p>
    <w:p>
      <w:pPr>
        <w:pStyle w:val="ListParagraph"/>
        <w:numPr>
          <w:ilvl w:val="0"/>
          <w:numId w:val="4"/>
        </w:numPr>
        <w:spacing w:after="85" w:line="285"/>
      </w:pPr>
      <w:r>
        <w:rPr>
          <w:sz w:val="21"/>
          <w:szCs w:val="21"/>
        </w:rPr>
        <w:t xml:space="preserve">Enter the access code your trainer gave you and press Open Practice Session.</w:t>
      </w:r>
    </w:p>
    <w:p>
      <w:pPr>
        <w:pStyle w:val="ListParagraph"/>
        <w:numPr>
          <w:ilvl w:val="0"/>
          <w:numId w:val="4"/>
        </w:numPr>
        <w:spacing w:after="85" w:line="285"/>
      </w:pPr>
      <w:r>
        <w:rPr>
          <w:sz w:val="21"/>
          <w:szCs w:val="21"/>
        </w:rPr>
        <w:t xml:space="preserve">Your charts appear in the left panel. Click one to open it and its coding form.</w:t>
      </w:r>
    </w:p>
    <w:p>
      <w:pPr>
        <w:pStyle w:val="Heading2"/>
        <w:keepNext/>
        <w:keepLines/>
        <w:spacing w:after="130" w:before="300"/>
      </w:pPr>
      <w:r>
        <w:rPr>
          <w:b/>
          <w:bCs/>
          <w:color w:val="1F3864"/>
          <w:sz w:val="24"/>
          <w:szCs w:val="24"/>
        </w:rPr>
        <w:t xml:space="preserve">The screen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Left panel</w:t>
            </w:r>
          </w:p>
        </w:tc>
        <w:tc>
          <w:tcPr>
            <w:tcW w:type="dxa" w:w="6760"/>
            <w:tcMar>
              <w:top w:type="dxa" w:w="95"/>
              <w:left w:type="dxa" w:w="135"/>
              <w:bottom w:type="dxa" w:w="95"/>
              <w:right w:type="dxa" w:w="135"/>
            </w:tcMar>
          </w:tcPr>
          <w:p>
            <w:r>
              <w:rPr>
                <w:sz w:val="20"/>
                <w:szCs w:val="20"/>
              </w:rPr>
              <w:t xml:space="preserve">Your assigned charts and their status — Not started, In progress, Complete — plus any you flagged.</w:t>
            </w:r>
          </w:p>
        </w:tc>
      </w:tr>
      <w:tr>
        <w:tc>
          <w:tcPr>
            <w:tcW w:type="dxa" w:w="2600"/>
            <w:tcMar>
              <w:top w:type="dxa" w:w="95"/>
              <w:left w:type="dxa" w:w="135"/>
              <w:bottom w:type="dxa" w:w="95"/>
              <w:right w:type="dxa" w:w="135"/>
            </w:tcMar>
          </w:tcPr>
          <w:p>
            <w:r>
              <w:rPr>
                <w:sz w:val="20"/>
                <w:szCs w:val="20"/>
              </w:rPr>
              <w:t xml:space="preserve">Chart</w:t>
            </w:r>
          </w:p>
        </w:tc>
        <w:tc>
          <w:tcPr>
            <w:tcW w:type="dxa" w:w="6760"/>
            <w:tcMar>
              <w:top w:type="dxa" w:w="95"/>
              <w:left w:type="dxa" w:w="135"/>
              <w:bottom w:type="dxa" w:w="95"/>
              <w:right w:type="dxa" w:w="135"/>
            </w:tcMar>
          </w:tcPr>
          <w:p>
            <w:r>
              <w:rPr>
                <w:sz w:val="20"/>
                <w:szCs w:val="20"/>
              </w:rPr>
              <w:t xml:space="preserve">The chart itself, with the same viewer controls as the home screen.</w:t>
            </w:r>
          </w:p>
        </w:tc>
      </w:tr>
      <w:tr>
        <w:tc>
          <w:tcPr>
            <w:tcW w:type="dxa" w:w="2600"/>
            <w:tcMar>
              <w:top w:type="dxa" w:w="95"/>
              <w:left w:type="dxa" w:w="135"/>
              <w:bottom w:type="dxa" w:w="95"/>
              <w:right w:type="dxa" w:w="135"/>
            </w:tcMar>
          </w:tcPr>
          <w:p>
            <w:r>
              <w:rPr>
                <w:sz w:val="20"/>
                <w:szCs w:val="20"/>
              </w:rPr>
              <w:t xml:space="preserve">Coding form</w:t>
            </w:r>
          </w:p>
        </w:tc>
        <w:tc>
          <w:tcPr>
            <w:tcW w:type="dxa" w:w="6760"/>
            <w:tcMar>
              <w:top w:type="dxa" w:w="95"/>
              <w:left w:type="dxa" w:w="135"/>
              <w:bottom w:type="dxa" w:w="95"/>
              <w:right w:type="dxa" w:w="135"/>
            </w:tcMar>
          </w:tcPr>
          <w:p>
            <w:r>
              <w:rPr>
                <w:sz w:val="20"/>
                <w:szCs w:val="20"/>
              </w:rPr>
              <w:t xml:space="preserve">The fields for this chart. They depend on its specialty — see below.</w:t>
            </w:r>
          </w:p>
        </w:tc>
      </w:tr>
      <w:tr>
        <w:tc>
          <w:tcPr>
            <w:tcW w:type="dxa" w:w="2600"/>
            <w:tcMar>
              <w:top w:type="dxa" w:w="95"/>
              <w:left w:type="dxa" w:w="135"/>
              <w:bottom w:type="dxa" w:w="95"/>
              <w:right w:type="dxa" w:w="135"/>
            </w:tcMar>
          </w:tcPr>
          <w:p>
            <w:r>
              <w:rPr>
                <w:sz w:val="20"/>
                <w:szCs w:val="20"/>
              </w:rPr>
              <w:t xml:space="preserve">Save Progress / Submit All Charts</w:t>
            </w:r>
          </w:p>
        </w:tc>
        <w:tc>
          <w:tcPr>
            <w:tcW w:type="dxa" w:w="6760"/>
            <w:tcMar>
              <w:top w:type="dxa" w:w="95"/>
              <w:left w:type="dxa" w:w="135"/>
              <w:bottom w:type="dxa" w:w="95"/>
              <w:right w:type="dxa" w:w="135"/>
            </w:tcMar>
          </w:tcPr>
          <w:p>
            <w:r>
              <w:rPr>
                <w:sz w:val="20"/>
                <w:szCs w:val="20"/>
              </w:rPr>
              <w:t xml:space="preserve">Save as you go; submit once, at the end, for everything.</w:t>
            </w:r>
          </w:p>
        </w:tc>
      </w:tr>
    </w:tbl>
    <w:p>
      <w:pPr>
        <w:spacing w:after="100" w:before="0" w:line="20"/>
      </w:pPr>
    </w:p>
    <w:p>
      <w:pPr>
        <w:pStyle w:val="Heading2"/>
        <w:keepNext/>
        <w:keepLines/>
        <w:spacing w:after="130" w:before="300"/>
      </w:pPr>
      <w:r>
        <w:rPr>
          <w:b/>
          <w:bCs/>
          <w:color w:val="1F3864"/>
          <w:sz w:val="24"/>
          <w:szCs w:val="24"/>
        </w:rPr>
        <w:t xml:space="preserve">What the form asks for, by specialty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DCE6F1" w:val="clear"/>
            <w:tcMar>
              <w:top w:type="dxa" w:w="95"/>
              <w:left w:type="dxa" w:w="135"/>
              <w:bottom w:type="dxa" w:w="95"/>
              <w:right w:type="dxa" w:w="135"/>
            </w:tcMar>
          </w:tcPr>
          <w:p>
            <w:r>
              <w:rPr>
                <w:b/>
                <w:bCs/>
                <w:color w:val="1F3864"/>
                <w:sz w:val="20"/>
                <w:szCs w:val="20"/>
              </w:rPr>
              <w:t xml:space="preserve">Specialty</w:t>
            </w:r>
          </w:p>
        </w:tc>
        <w:tc>
          <w:tcPr>
            <w:tcW w:type="dxa" w:w="6360"/>
            <w:shd w:fill="DCE6F1" w:val="clear"/>
            <w:tcMar>
              <w:top w:type="dxa" w:w="95"/>
              <w:left w:type="dxa" w:w="135"/>
              <w:bottom w:type="dxa" w:w="95"/>
              <w:right w:type="dxa" w:w="135"/>
            </w:tcMar>
          </w:tcPr>
          <w:p>
            <w:r>
              <w:rPr>
                <w:b/>
                <w:bCs/>
                <w:color w:val="1F3864"/>
                <w:sz w:val="20"/>
                <w:szCs w:val="20"/>
              </w:rPr>
              <w:t xml:space="preserve">You enter</w:t>
            </w:r>
          </w:p>
        </w:tc>
      </w:tr>
      <w:tr>
        <w:tc>
          <w:tcPr>
            <w:tcW w:type="dxa" w:w="3000"/>
            <w:tcMar>
              <w:top w:type="dxa" w:w="95"/>
              <w:left w:type="dxa" w:w="135"/>
              <w:bottom w:type="dxa" w:w="95"/>
              <w:right w:type="dxa" w:w="135"/>
            </w:tcMar>
          </w:tcPr>
          <w:p>
            <w:r>
              <w:rPr>
                <w:sz w:val="20"/>
                <w:szCs w:val="20"/>
              </w:rPr>
              <w:t xml:space="preserve">IP-DRG (inpatient)</w:t>
            </w:r>
          </w:p>
        </w:tc>
        <w:tc>
          <w:tcPr>
            <w:tcW w:type="dxa" w:w="6360"/>
            <w:tcMar>
              <w:top w:type="dxa" w:w="95"/>
              <w:left w:type="dxa" w:w="135"/>
              <w:bottom w:type="dxa" w:w="95"/>
              <w:right w:type="dxa" w:w="135"/>
            </w:tcMar>
          </w:tcPr>
          <w:p>
            <w:r>
              <w:rPr>
                <w:sz w:val="20"/>
                <w:szCs w:val="20"/>
              </w:rPr>
              <w:t xml:space="preserve">Principal diagnosis and secondary diagnoses, each with a POA indicator, and ICD-10-PCS procedures.</w:t>
            </w:r>
          </w:p>
        </w:tc>
      </w:tr>
      <w:tr>
        <w:tc>
          <w:tcPr>
            <w:tcW w:type="dxa" w:w="3000"/>
            <w:tcMar>
              <w:top w:type="dxa" w:w="95"/>
              <w:left w:type="dxa" w:w="135"/>
              <w:bottom w:type="dxa" w:w="95"/>
              <w:right w:type="dxa" w:w="135"/>
            </w:tcMar>
          </w:tcPr>
          <w:p>
            <w:r>
              <w:rPr>
                <w:sz w:val="20"/>
                <w:szCs w:val="20"/>
              </w:rPr>
              <w:t xml:space="preserve">ED Facility, ED Single Path, SDS, Surgery, Ancillary</w:t>
            </w:r>
          </w:p>
        </w:tc>
        <w:tc>
          <w:tcPr>
            <w:tcW w:type="dxa" w:w="6360"/>
            <w:tcMar>
              <w:top w:type="dxa" w:w="95"/>
              <w:left w:type="dxa" w:w="135"/>
              <w:bottom w:type="dxa" w:w="95"/>
              <w:right w:type="dxa" w:w="135"/>
            </w:tcMar>
          </w:tcPr>
          <w:p>
            <w:r>
              <w:rPr>
                <w:sz w:val="20"/>
                <w:szCs w:val="20"/>
              </w:rPr>
              <w:t xml:space="preserve">First-listed and additional diagnoses, CPT procedures with modifiers, units and diagnosis pointers where the specialty uses them. No POA.</w:t>
            </w:r>
          </w:p>
        </w:tc>
      </w:tr>
      <w:tr>
        <w:tc>
          <w:tcPr>
            <w:tcW w:type="dxa" w:w="3000"/>
            <w:tcMar>
              <w:top w:type="dxa" w:w="95"/>
              <w:left w:type="dxa" w:w="135"/>
              <w:bottom w:type="dxa" w:w="95"/>
              <w:right w:type="dxa" w:w="135"/>
            </w:tcMar>
          </w:tcPr>
          <w:p>
            <w:r>
              <w:rPr>
                <w:sz w:val="20"/>
                <w:szCs w:val="20"/>
              </w:rPr>
              <w:t xml:space="preserve">ED Profee</w:t>
            </w:r>
          </w:p>
        </w:tc>
        <w:tc>
          <w:tcPr>
            <w:tcW w:type="dxa" w:w="6360"/>
            <w:tcMar>
              <w:top w:type="dxa" w:w="95"/>
              <w:left w:type="dxa" w:w="135"/>
              <w:bottom w:type="dxa" w:w="95"/>
              <w:right w:type="dxa" w:w="135"/>
            </w:tcMar>
          </w:tcPr>
          <w:p>
            <w:r>
              <w:rPr>
                <w:sz w:val="20"/>
                <w:szCs w:val="20"/>
              </w:rPr>
              <w:t xml:space="preserve">Diagnoses, the professional ED level, and procedure CPTs if applicable.</w:t>
            </w:r>
          </w:p>
        </w:tc>
      </w:tr>
      <w:tr>
        <w:tc>
          <w:tcPr>
            <w:tcW w:type="dxa" w:w="3000"/>
            <w:tcMar>
              <w:top w:type="dxa" w:w="95"/>
              <w:left w:type="dxa" w:w="135"/>
              <w:bottom w:type="dxa" w:w="95"/>
              <w:right w:type="dxa" w:w="135"/>
            </w:tcMar>
          </w:tcPr>
          <w:p>
            <w:r>
              <w:rPr>
                <w:sz w:val="20"/>
                <w:szCs w:val="20"/>
              </w:rPr>
              <w:t xml:space="preserve">E/M</w:t>
            </w:r>
          </w:p>
        </w:tc>
        <w:tc>
          <w:tcPr>
            <w:tcW w:type="dxa" w:w="6360"/>
            <w:tcMar>
              <w:top w:type="dxa" w:w="95"/>
              <w:left w:type="dxa" w:w="135"/>
              <w:bottom w:type="dxa" w:w="95"/>
              <w:right w:type="dxa" w:w="135"/>
            </w:tcMar>
          </w:tcPr>
          <w:p>
            <w:r>
              <w:rPr>
                <w:sz w:val="20"/>
                <w:szCs w:val="20"/>
              </w:rPr>
              <w:t xml:space="preserve">Patient type (new or established), the E/M code, and — when the visit is levelled by medical decision making — the three MDM sections: Problems (COPA), Data Review, and Risk.</w:t>
            </w:r>
          </w:p>
        </w:tc>
      </w:tr>
      <w:tr>
        <w:tc>
          <w:tcPr>
            <w:tcW w:type="dxa" w:w="3000"/>
            <w:tcMar>
              <w:top w:type="dxa" w:w="95"/>
              <w:left w:type="dxa" w:w="135"/>
              <w:bottom w:type="dxa" w:w="95"/>
              <w:right w:type="dxa" w:w="135"/>
            </w:tcMar>
          </w:tcPr>
          <w:p>
            <w:r>
              <w:rPr>
                <w:sz w:val="20"/>
                <w:szCs w:val="20"/>
              </w:rPr>
              <w:t xml:space="preserve">Edits, Denials</w:t>
            </w:r>
          </w:p>
        </w:tc>
        <w:tc>
          <w:tcPr>
            <w:tcW w:type="dxa" w:w="6360"/>
            <w:tcMar>
              <w:top w:type="dxa" w:w="95"/>
              <w:left w:type="dxa" w:w="135"/>
              <w:bottom w:type="dxa" w:w="95"/>
              <w:right w:type="dxa" w:w="135"/>
            </w:tcMar>
          </w:tcPr>
          <w:p>
            <w:r>
              <w:rPr>
                <w:sz w:val="20"/>
                <w:szCs w:val="20"/>
              </w:rPr>
              <w:t xml:space="preserve">No codes. You write your review, research, recommended resolution and final rationale.</w:t>
            </w:r>
          </w:p>
        </w:tc>
      </w:tr>
    </w:tbl>
    <w:p>
      <w:pPr>
        <w:spacing w:after="100" w:before="0" w:line="20"/>
      </w:pPr>
    </w:p>
    <w:p>
      <w:pPr>
        <w:pStyle w:val="Heading3"/>
        <w:keepNext/>
        <w:keepLines/>
        <w:spacing w:after="110" w:before="220"/>
      </w:pPr>
      <w:r>
        <w:rPr>
          <w:b/>
          <w:bCs/>
          <w:color w:val="2E75B6"/>
          <w:sz w:val="22"/>
          <w:szCs w:val="22"/>
        </w:rPr>
        <w:t xml:space="preserve">POA indicators (inpatient only)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400"/>
        <w:gridCol w:w="7960"/>
      </w:tblGrid>
      <w:tr>
        <w:trPr>
          <w:tblHeader/>
        </w:trPr>
        <w:tc>
          <w:tcPr>
            <w:tcW w:type="dxa" w:w="1400"/>
            <w:shd w:fill="DCE6F1" w:val="clear"/>
            <w:tcMar>
              <w:top w:type="dxa" w:w="95"/>
              <w:left w:type="dxa" w:w="135"/>
              <w:bottom w:type="dxa" w:w="95"/>
              <w:right w:type="dxa" w:w="135"/>
            </w:tcMar>
          </w:tcPr>
          <w:p>
            <w:r>
              <w:rPr>
                <w:b/>
                <w:bCs/>
                <w:color w:val="1F3864"/>
                <w:sz w:val="20"/>
                <w:szCs w:val="20"/>
              </w:rPr>
              <w:t xml:space="preserve">Value</w:t>
            </w:r>
          </w:p>
        </w:tc>
        <w:tc>
          <w:tcPr>
            <w:tcW w:type="dxa" w:w="7960"/>
            <w:shd w:fill="DCE6F1" w:val="clear"/>
            <w:tcMar>
              <w:top w:type="dxa" w:w="95"/>
              <w:left w:type="dxa" w:w="135"/>
              <w:bottom w:type="dxa" w:w="95"/>
              <w:right w:type="dxa" w:w="135"/>
            </w:tcMar>
          </w:tcPr>
          <w:p>
            <w:r>
              <w:rPr>
                <w:b/>
                <w:bCs/>
                <w:color w:val="1F3864"/>
                <w:sz w:val="20"/>
                <w:szCs w:val="20"/>
              </w:rPr>
              <w:t xml:space="preserve">Meaning</w:t>
            </w:r>
          </w:p>
        </w:tc>
      </w:tr>
      <w:tr>
        <w:tc>
          <w:tcPr>
            <w:tcW w:type="dxa" w:w="1400"/>
            <w:tcMar>
              <w:top w:type="dxa" w:w="95"/>
              <w:left w:type="dxa" w:w="135"/>
              <w:bottom w:type="dxa" w:w="95"/>
              <w:right w:type="dxa" w:w="135"/>
            </w:tcMar>
          </w:tcPr>
          <w:p>
            <w:r>
              <w:rPr>
                <w:sz w:val="20"/>
                <w:szCs w:val="20"/>
              </w:rPr>
              <w:t xml:space="preserve">Y</w:t>
            </w:r>
          </w:p>
        </w:tc>
        <w:tc>
          <w:tcPr>
            <w:tcW w:type="dxa" w:w="7960"/>
            <w:tcMar>
              <w:top w:type="dxa" w:w="95"/>
              <w:left w:type="dxa" w:w="135"/>
              <w:bottom w:type="dxa" w:w="95"/>
              <w:right w:type="dxa" w:w="135"/>
            </w:tcMar>
          </w:tcPr>
          <w:p>
            <w:r>
              <w:rPr>
                <w:sz w:val="20"/>
                <w:szCs w:val="20"/>
              </w:rPr>
              <w:t xml:space="preserve">Present at admission</w:t>
            </w:r>
          </w:p>
        </w:tc>
      </w:tr>
      <w:tr>
        <w:tc>
          <w:tcPr>
            <w:tcW w:type="dxa" w:w="1400"/>
            <w:tcMar>
              <w:top w:type="dxa" w:w="95"/>
              <w:left w:type="dxa" w:w="135"/>
              <w:bottom w:type="dxa" w:w="95"/>
              <w:right w:type="dxa" w:w="135"/>
            </w:tcMar>
          </w:tcPr>
          <w:p>
            <w:r>
              <w:rPr>
                <w:sz w:val="20"/>
                <w:szCs w:val="20"/>
              </w:rPr>
              <w:t xml:space="preserve">N</w:t>
            </w:r>
          </w:p>
        </w:tc>
        <w:tc>
          <w:tcPr>
            <w:tcW w:type="dxa" w:w="7960"/>
            <w:tcMar>
              <w:top w:type="dxa" w:w="95"/>
              <w:left w:type="dxa" w:w="135"/>
              <w:bottom w:type="dxa" w:w="95"/>
              <w:right w:type="dxa" w:w="135"/>
            </w:tcMar>
          </w:tcPr>
          <w:p>
            <w:r>
              <w:rPr>
                <w:sz w:val="20"/>
                <w:szCs w:val="20"/>
              </w:rPr>
              <w:t xml:space="preserve">Not present at admission</w:t>
            </w:r>
          </w:p>
        </w:tc>
      </w:tr>
      <w:tr>
        <w:tc>
          <w:tcPr>
            <w:tcW w:type="dxa" w:w="1400"/>
            <w:tcMar>
              <w:top w:type="dxa" w:w="95"/>
              <w:left w:type="dxa" w:w="135"/>
              <w:bottom w:type="dxa" w:w="95"/>
              <w:right w:type="dxa" w:w="135"/>
            </w:tcMar>
          </w:tcPr>
          <w:p>
            <w:r>
              <w:rPr>
                <w:sz w:val="20"/>
                <w:szCs w:val="20"/>
              </w:rPr>
              <w:t xml:space="preserve">U</w:t>
            </w:r>
          </w:p>
        </w:tc>
        <w:tc>
          <w:tcPr>
            <w:tcW w:type="dxa" w:w="7960"/>
            <w:tcMar>
              <w:top w:type="dxa" w:w="95"/>
              <w:left w:type="dxa" w:w="135"/>
              <w:bottom w:type="dxa" w:w="95"/>
              <w:right w:type="dxa" w:w="135"/>
            </w:tcMar>
          </w:tcPr>
          <w:p>
            <w:r>
              <w:rPr>
                <w:sz w:val="20"/>
                <w:szCs w:val="20"/>
              </w:rPr>
              <w:t xml:space="preserve">Documentation insufficient</w:t>
            </w:r>
          </w:p>
        </w:tc>
      </w:tr>
      <w:tr>
        <w:tc>
          <w:tcPr>
            <w:tcW w:type="dxa" w:w="1400"/>
            <w:tcMar>
              <w:top w:type="dxa" w:w="95"/>
              <w:left w:type="dxa" w:w="135"/>
              <w:bottom w:type="dxa" w:w="95"/>
              <w:right w:type="dxa" w:w="135"/>
            </w:tcMar>
          </w:tcPr>
          <w:p>
            <w:r>
              <w:rPr>
                <w:sz w:val="20"/>
                <w:szCs w:val="20"/>
              </w:rPr>
              <w:t xml:space="preserve">W</w:t>
            </w:r>
          </w:p>
        </w:tc>
        <w:tc>
          <w:tcPr>
            <w:tcW w:type="dxa" w:w="7960"/>
            <w:tcMar>
              <w:top w:type="dxa" w:w="95"/>
              <w:left w:type="dxa" w:w="135"/>
              <w:bottom w:type="dxa" w:w="95"/>
              <w:right w:type="dxa" w:w="135"/>
            </w:tcMar>
          </w:tcPr>
          <w:p>
            <w:r>
              <w:rPr>
                <w:sz w:val="20"/>
                <w:szCs w:val="20"/>
              </w:rPr>
              <w:t xml:space="preserve">Clinically undetermined</w:t>
            </w:r>
          </w:p>
        </w:tc>
      </w:tr>
      <w:tr>
        <w:tc>
          <w:tcPr>
            <w:tcW w:type="dxa" w:w="1400"/>
            <w:tcMar>
              <w:top w:type="dxa" w:w="95"/>
              <w:left w:type="dxa" w:w="135"/>
              <w:bottom w:type="dxa" w:w="95"/>
              <w:right w:type="dxa" w:w="135"/>
            </w:tcMar>
          </w:tcPr>
          <w:p>
            <w:r>
              <w:rPr>
                <w:sz w:val="20"/>
                <w:szCs w:val="20"/>
              </w:rPr>
              <w:t xml:space="preserve">E</w:t>
            </w:r>
          </w:p>
        </w:tc>
        <w:tc>
          <w:tcPr>
            <w:tcW w:type="dxa" w:w="7960"/>
            <w:tcMar>
              <w:top w:type="dxa" w:w="95"/>
              <w:left w:type="dxa" w:w="135"/>
              <w:bottom w:type="dxa" w:w="95"/>
              <w:right w:type="dxa" w:w="135"/>
            </w:tcMar>
          </w:tcPr>
          <w:p>
            <w:r>
              <w:rPr>
                <w:sz w:val="20"/>
                <w:szCs w:val="20"/>
              </w:rPr>
              <w:t xml:space="preserve">Exempt from POA reporting</w:t>
            </w:r>
          </w:p>
        </w:tc>
      </w:tr>
    </w:tbl>
    <w:p>
      <w:pPr>
        <w:spacing w:after="100" w:before="0" w:line="20"/>
      </w:pPr>
    </w:p>
    <w:p>
      <w:pPr>
        <w:pStyle w:val="Heading3"/>
        <w:keepNext/>
        <w:keepLines/>
        <w:spacing w:after="110" w:before="220"/>
      </w:pPr>
      <w:r>
        <w:rPr>
          <w:b/>
          <w:bCs/>
          <w:color w:val="2E75B6"/>
          <w:sz w:val="22"/>
          <w:szCs w:val="22"/>
        </w:rPr>
        <w:t xml:space="preserve">Entering codes</w:t>
      </w:r>
    </w:p>
    <w:p>
      <w:pPr>
        <w:pStyle w:val="ListParagraph"/>
        <w:numPr>
          <w:ilvl w:val="0"/>
          <w:numId w:val="5"/>
        </w:numPr>
        <w:spacing w:after="85" w:line="285"/>
      </w:pPr>
      <w:r>
        <w:rPr>
          <w:sz w:val="21"/>
          <w:szCs w:val="21"/>
        </w:rPr>
        <w:t xml:space="preserve">Type codes with or without the dot or spaces — J18.9 and J189 are both accepted.</w:t>
      </w:r>
    </w:p>
    <w:p>
      <w:pPr>
        <w:pStyle w:val="ListParagraph"/>
        <w:numPr>
          <w:ilvl w:val="0"/>
          <w:numId w:val="5"/>
        </w:numPr>
        <w:spacing w:after="85" w:line="285"/>
      </w:pPr>
      <w:r>
        <w:rPr>
          <w:sz w:val="21"/>
          <w:szCs w:val="21"/>
        </w:rPr>
        <w:t xml:space="preserve">As you type, suggestions and descriptions appear for ICD-10-CM, ICD-10-PCS and HCPCS. CPT codes have no descriptions: that code set is licensed separately and is not in the system.</w:t>
      </w:r>
    </w:p>
    <w:p>
      <w:pPr>
        <w:pStyle w:val="ListParagraph"/>
        <w:numPr>
          <w:ilvl w:val="0"/>
          <w:numId w:val="5"/>
        </w:numPr>
        <w:spacing w:after="85" w:line="285"/>
      </w:pPr>
      <w:r>
        <w:rPr>
          <w:sz w:val="21"/>
          <w:szCs w:val="21"/>
        </w:rPr>
        <w:t xml:space="preserve">Diagnosis pointers are numbers (1, 2, 3, 4), up to four per line.</w:t>
      </w:r>
    </w:p>
    <w:p>
      <w:pPr>
        <w:pStyle w:val="Heading2"/>
        <w:keepNext/>
        <w:keepLines/>
        <w:spacing w:after="130" w:before="300"/>
      </w:pPr>
      <w:r>
        <w:rPr>
          <w:b/>
          <w:bCs/>
          <w:color w:val="1F3864"/>
          <w:sz w:val="24"/>
          <w:szCs w:val="24"/>
        </w:rPr>
        <w:t xml:space="preserve">Flags, notes and queries</w:t>
      </w:r>
    </w:p>
    <w:p>
      <w:pPr>
        <w:pStyle w:val="ListParagraph"/>
        <w:numPr>
          <w:ilvl w:val="0"/>
          <w:numId w:val="5"/>
        </w:numPr>
        <w:spacing w:after="85" w:line="285"/>
      </w:pPr>
      <w:r>
        <w:rPr>
          <w:sz w:val="21"/>
          <w:szCs w:val="21"/>
        </w:rPr>
        <w:t xml:space="preserve">Flag — mark a chart you are unsure about. Your trainer sees the flag.</w:t>
      </w:r>
    </w:p>
    <w:p>
      <w:pPr>
        <w:pStyle w:val="ListParagraph"/>
        <w:numPr>
          <w:ilvl w:val="0"/>
          <w:numId w:val="5"/>
        </w:numPr>
        <w:spacing w:after="85" w:line="285"/>
      </w:pPr>
      <w:r>
        <w:rPr>
          <w:sz w:val="21"/>
          <w:szCs w:val="21"/>
        </w:rPr>
        <w:t xml:space="preserve">Notes — anything you want your trainer to know about the chart. Only trainers see it.</w:t>
      </w:r>
    </w:p>
    <w:p>
      <w:pPr>
        <w:pStyle w:val="ListParagraph"/>
        <w:numPr>
          <w:ilvl w:val="0"/>
          <w:numId w:val="5"/>
        </w:numPr>
        <w:spacing w:after="85" w:line="285"/>
      </w:pPr>
      <w:r>
        <w:rPr>
          <w:sz w:val="21"/>
          <w:szCs w:val="21"/>
        </w:rPr>
        <w:t xml:space="preserve">Query — where the documentation is unclear, answer “Yes — send for query” and write the question you would put to the physician. The query is then required, and your trainer reviews it.</w:t>
      </w:r>
    </w:p>
    <w:p>
      <w:pPr>
        <w:pStyle w:val="Heading2"/>
        <w:keepNext/>
        <w:keepLines/>
        <w:spacing w:after="130" w:before="300"/>
      </w:pPr>
      <w:r>
        <w:rPr>
          <w:b/>
          <w:bCs/>
          <w:color w:val="1F3864"/>
          <w:sz w:val="24"/>
          <w:szCs w:val="24"/>
        </w:rPr>
        <w:t xml:space="preserve">Saving and submitting</w:t>
      </w:r>
    </w:p>
    <w:p>
      <w:pPr>
        <w:pStyle w:val="ListParagraph"/>
        <w:numPr>
          <w:ilvl w:val="0"/>
          <w:numId w:val="6"/>
        </w:numPr>
        <w:spacing w:after="85" w:line="285"/>
      </w:pPr>
      <w:r>
        <w:rPr>
          <w:sz w:val="21"/>
          <w:szCs w:val="21"/>
        </w:rPr>
        <w:t xml:space="preserve">Work saves when you move to another chart. Press Save Progress any time to be sure.</w:t>
      </w:r>
    </w:p>
    <w:p>
      <w:pPr>
        <w:pStyle w:val="ListParagraph"/>
        <w:numPr>
          <w:ilvl w:val="0"/>
          <w:numId w:val="6"/>
        </w:numPr>
        <w:spacing w:after="85" w:line="285"/>
      </w:pPr>
      <w:r>
        <w:rPr>
          <w:sz w:val="21"/>
          <w:szCs w:val="21"/>
        </w:rPr>
        <w:t xml:space="preserve">When every chart is done, press Submit All Charts.</w:t>
      </w:r>
    </w:p>
    <w:p>
      <w:pPr>
        <w:pStyle w:val="ListParagraph"/>
        <w:numPr>
          <w:ilvl w:val="0"/>
          <w:numId w:val="6"/>
        </w:numPr>
        <w:spacing w:after="85" w:line="285"/>
      </w:pPr>
      <w:r>
        <w:rPr>
          <w:sz w:val="21"/>
          <w:szCs w:val="21"/>
        </w:rPr>
        <w:t xml:space="preserve">Review Before Submit lists each chart’s status and anything missing — for example a diagnosis without POA. Go back and fix it, or submit anyway.</w:t>
      </w:r>
    </w:p>
    <w:p>
      <w:pPr>
        <w:pStyle w:val="ListParagraph"/>
        <w:numPr>
          <w:ilvl w:val="0"/>
          <w:numId w:val="6"/>
        </w:numPr>
        <w:spacing w:after="85" w:line="285"/>
      </w:pPr>
      <w:r>
        <w:rPr>
          <w:sz w:val="21"/>
          <w:szCs w:val="21"/>
        </w:rPr>
        <w:t xml:space="preserve">Confirm. Submission is final: you cannot change your codes afterwards.</w:t>
      </w:r>
    </w:p>
    <w:p>
      <w:pPr>
        <w:pStyle w:val="ListParagraph"/>
        <w:numPr>
          <w:ilvl w:val="0"/>
          <w:numId w:val="6"/>
        </w:numPr>
        <w:spacing w:after="85" w:line="285"/>
      </w:pPr>
      <w:r>
        <w:rPr>
          <w:sz w:val="21"/>
          <w:szCs w:val="21"/>
        </w:rPr>
        <w:t xml:space="preserve">You see Submission Complete. If your trainer switched results on for this batch, your chart-by-chart feedback appears; otherwise your trainer shares it later.</w:t>
      </w: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Leaving part-way is safe</w:t>
            </w:r>
          </w:p>
          <w:p>
            <w:pPr>
              <w:spacing w:after="65" w:line="285"/>
            </w:pPr>
            <w:r>
              <w:rPr>
                <w:sz w:val="21"/>
                <w:szCs w:val="21"/>
              </w:rPr>
              <w:t xml:space="preserve">If you close the window before submitting, your work is kept. Open Practice with the same code later and carry on where you stopped.</w:t>
            </w:r>
          </w:p>
        </w:tc>
      </w:tr>
    </w:tbl>
    <w:p>
      <w:pPr>
        <w:spacing w:after="100" w:before="0" w:line="20"/>
      </w:pPr>
    </w:p>
    <w:p>
      <w:pPr>
        <w:pStyle w:val="Heading1"/>
        <w:keepNext/>
        <w:keepLines/>
        <w:spacing w:after="170" w:before="400"/>
      </w:pPr>
      <w:r>
        <w:rPr>
          <w:b/>
          <w:bCs/>
          <w:color w:val="1F3864"/>
          <w:sz w:val="30"/>
          <w:szCs w:val="30"/>
        </w:rPr>
        <w:t xml:space="preserve">Auditing assigned charts (for auditors)</w:t>
      </w:r>
    </w:p>
    <w:p>
      <w:pPr>
        <w:spacing w:after="130" w:line="285"/>
      </w:pPr>
      <w:r>
        <w:rPr>
          <w:sz w:val="21"/>
          <w:szCs w:val="21"/>
        </w:rPr>
        <w:t xml:space="preserve">Audit work is the reverse of coding. Each chart arrives already coded, as a claim. Some claims contain errors and some are correct. Your job is to find what is wrong and fix it — and to leave correct codes alone.</w:t>
      </w:r>
    </w:p>
    <w:p>
      <w:pPr>
        <w:pStyle w:val="Heading2"/>
        <w:keepNext/>
        <w:keepLines/>
        <w:spacing w:after="130" w:before="300"/>
      </w:pPr>
      <w:r>
        <w:rPr>
          <w:b/>
          <w:bCs/>
          <w:color w:val="1F3864"/>
          <w:sz w:val="24"/>
          <w:szCs w:val="24"/>
        </w:rPr>
        <w:t xml:space="preserve">How to start</w:t>
      </w:r>
    </w:p>
    <w:p>
      <w:pPr>
        <w:pStyle w:val="ListParagraph"/>
        <w:numPr>
          <w:ilvl w:val="0"/>
          <w:numId w:val="7"/>
        </w:numPr>
        <w:spacing w:after="85" w:line="285"/>
      </w:pPr>
      <w:r>
        <w:rPr>
          <w:sz w:val="21"/>
          <w:szCs w:val="21"/>
        </w:rPr>
        <w:t xml:space="preserve">Click Practice on the home screen, enter your audit code (it begins AUD-) and press Open Practice Session.</w:t>
      </w:r>
    </w:p>
    <w:p>
      <w:pPr>
        <w:pStyle w:val="ListParagraph"/>
        <w:numPr>
          <w:ilvl w:val="0"/>
          <w:numId w:val="7"/>
        </w:numPr>
        <w:spacing w:after="85" w:line="285"/>
      </w:pPr>
      <w:r>
        <w:rPr>
          <w:sz w:val="21"/>
          <w:szCs w:val="21"/>
        </w:rPr>
        <w:t xml:space="preserve">Pick a chart from the left panel. The claim is shown section by section beside the chart.</w:t>
      </w:r>
    </w:p>
    <w:p>
      <w:pPr>
        <w:pStyle w:val="Heading2"/>
        <w:keepNext/>
        <w:keepLines/>
        <w:spacing w:after="130" w:before="300"/>
      </w:pPr>
      <w:r>
        <w:rPr>
          <w:b/>
          <w:bCs/>
          <w:color w:val="1F3864"/>
          <w:sz w:val="24"/>
          <w:szCs w:val="24"/>
        </w:rPr>
        <w:t xml:space="preserve">What you can do to a claim</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400"/>
        <w:gridCol w:w="3900"/>
        <w:gridCol w:w="4060"/>
      </w:tblGrid>
      <w:tr>
        <w:trPr>
          <w:tblHeader/>
        </w:trPr>
        <w:tc>
          <w:tcPr>
            <w:tcW w:type="dxa" w:w="1400"/>
            <w:shd w:fill="DCE6F1" w:val="clear"/>
            <w:tcMar>
              <w:top w:type="dxa" w:w="95"/>
              <w:left w:type="dxa" w:w="135"/>
              <w:bottom w:type="dxa" w:w="95"/>
              <w:right w:type="dxa" w:w="135"/>
            </w:tcMar>
          </w:tcPr>
          <w:p>
            <w:r>
              <w:rPr>
                <w:b/>
                <w:bCs/>
                <w:color w:val="1F3864"/>
                <w:sz w:val="20"/>
                <w:szCs w:val="20"/>
              </w:rPr>
              <w:t xml:space="preserve">Action</w:t>
            </w:r>
          </w:p>
        </w:tc>
        <w:tc>
          <w:tcPr>
            <w:tcW w:type="dxa" w:w="3900"/>
            <w:shd w:fill="DCE6F1" w:val="clear"/>
            <w:tcMar>
              <w:top w:type="dxa" w:w="95"/>
              <w:left w:type="dxa" w:w="135"/>
              <w:bottom w:type="dxa" w:w="95"/>
              <w:right w:type="dxa" w:w="135"/>
            </w:tcMar>
          </w:tcPr>
          <w:p>
            <w:r>
              <w:rPr>
                <w:b/>
                <w:bCs/>
                <w:color w:val="1F3864"/>
                <w:sz w:val="20"/>
                <w:szCs w:val="20"/>
              </w:rPr>
              <w:t xml:space="preserve">How</w:t>
            </w:r>
          </w:p>
        </w:tc>
        <w:tc>
          <w:tcPr>
            <w:tcW w:type="dxa" w:w="4060"/>
            <w:shd w:fill="DCE6F1" w:val="clear"/>
            <w:tcMar>
              <w:top w:type="dxa" w:w="95"/>
              <w:left w:type="dxa" w:w="135"/>
              <w:bottom w:type="dxa" w:w="95"/>
              <w:right w:type="dxa" w:w="135"/>
            </w:tcMar>
          </w:tcPr>
          <w:p>
            <w:r>
              <w:rPr>
                <w:b/>
                <w:bCs/>
                <w:color w:val="1F3864"/>
                <w:sz w:val="20"/>
                <w:szCs w:val="20"/>
              </w:rPr>
              <w:t xml:space="preserve">Use it when</w:t>
            </w:r>
          </w:p>
        </w:tc>
      </w:tr>
      <w:tr>
        <w:tc>
          <w:tcPr>
            <w:tcW w:type="dxa" w:w="1400"/>
            <w:tcMar>
              <w:top w:type="dxa" w:w="95"/>
              <w:left w:type="dxa" w:w="135"/>
              <w:bottom w:type="dxa" w:w="95"/>
              <w:right w:type="dxa" w:w="135"/>
            </w:tcMar>
          </w:tcPr>
          <w:p>
            <w:r>
              <w:rPr>
                <w:sz w:val="20"/>
                <w:szCs w:val="20"/>
              </w:rPr>
              <w:t xml:space="preserve">Keep</w:t>
            </w:r>
          </w:p>
        </w:tc>
        <w:tc>
          <w:tcPr>
            <w:tcW w:type="dxa" w:w="3900"/>
            <w:tcMar>
              <w:top w:type="dxa" w:w="95"/>
              <w:left w:type="dxa" w:w="135"/>
              <w:bottom w:type="dxa" w:w="95"/>
              <w:right w:type="dxa" w:w="135"/>
            </w:tcMar>
          </w:tcPr>
          <w:p>
            <w:r>
              <w:rPr>
                <w:sz w:val="20"/>
                <w:szCs w:val="20"/>
              </w:rPr>
              <w:t xml:space="preserve">Do nothing</w:t>
            </w:r>
          </w:p>
        </w:tc>
        <w:tc>
          <w:tcPr>
            <w:tcW w:type="dxa" w:w="4060"/>
            <w:tcMar>
              <w:top w:type="dxa" w:w="95"/>
              <w:left w:type="dxa" w:w="135"/>
              <w:bottom w:type="dxa" w:w="95"/>
              <w:right w:type="dxa" w:w="135"/>
            </w:tcMar>
          </w:tcPr>
          <w:p>
            <w:r>
              <w:rPr>
                <w:sz w:val="20"/>
                <w:szCs w:val="20"/>
              </w:rPr>
              <w:t xml:space="preserve">The code is correct as it stands.</w:t>
            </w:r>
          </w:p>
        </w:tc>
      </w:tr>
      <w:tr>
        <w:tc>
          <w:tcPr>
            <w:tcW w:type="dxa" w:w="1400"/>
            <w:tcMar>
              <w:top w:type="dxa" w:w="95"/>
              <w:left w:type="dxa" w:w="135"/>
              <w:bottom w:type="dxa" w:w="95"/>
              <w:right w:type="dxa" w:w="135"/>
            </w:tcMar>
          </w:tcPr>
          <w:p>
            <w:r>
              <w:rPr>
                <w:sz w:val="20"/>
                <w:szCs w:val="20"/>
              </w:rPr>
              <w:t xml:space="preserve">Revise</w:t>
            </w:r>
          </w:p>
        </w:tc>
        <w:tc>
          <w:tcPr>
            <w:tcW w:type="dxa" w:w="3900"/>
            <w:tcMar>
              <w:top w:type="dxa" w:w="95"/>
              <w:left w:type="dxa" w:w="135"/>
              <w:bottom w:type="dxa" w:w="95"/>
              <w:right w:type="dxa" w:w="135"/>
            </w:tcMar>
          </w:tcPr>
          <w:p>
            <w:r>
              <w:rPr>
                <w:sz w:val="20"/>
                <w:szCs w:val="20"/>
              </w:rPr>
              <w:t xml:space="preserve">Change the code or its POA, modifier or units in place</w:t>
            </w:r>
          </w:p>
        </w:tc>
        <w:tc>
          <w:tcPr>
            <w:tcW w:type="dxa" w:w="4060"/>
            <w:tcMar>
              <w:top w:type="dxa" w:w="95"/>
              <w:left w:type="dxa" w:w="135"/>
              <w:bottom w:type="dxa" w:w="95"/>
              <w:right w:type="dxa" w:w="135"/>
            </w:tcMar>
          </w:tcPr>
          <w:p>
            <w:r>
              <w:rPr>
                <w:sz w:val="20"/>
                <w:szCs w:val="20"/>
              </w:rPr>
              <w:t xml:space="preserve">The code is on the claim but is wrong.</w:t>
            </w:r>
          </w:p>
        </w:tc>
      </w:tr>
      <w:tr>
        <w:tc>
          <w:tcPr>
            <w:tcW w:type="dxa" w:w="1400"/>
            <w:tcMar>
              <w:top w:type="dxa" w:w="95"/>
              <w:left w:type="dxa" w:w="135"/>
              <w:bottom w:type="dxa" w:w="95"/>
              <w:right w:type="dxa" w:w="135"/>
            </w:tcMar>
          </w:tcPr>
          <w:p>
            <w:r>
              <w:rPr>
                <w:sz w:val="20"/>
                <w:szCs w:val="20"/>
              </w:rPr>
              <w:t xml:space="preserve">Delete</w:t>
            </w:r>
          </w:p>
        </w:tc>
        <w:tc>
          <w:tcPr>
            <w:tcW w:type="dxa" w:w="3900"/>
            <w:tcMar>
              <w:top w:type="dxa" w:w="95"/>
              <w:left w:type="dxa" w:w="135"/>
              <w:bottom w:type="dxa" w:w="95"/>
              <w:right w:type="dxa" w:w="135"/>
            </w:tcMar>
          </w:tcPr>
          <w:p>
            <w:r>
              <w:rPr>
                <w:sz w:val="20"/>
                <w:szCs w:val="20"/>
              </w:rPr>
              <w:t xml:space="preserve">Press Delete on the line (Undo reverses it)</w:t>
            </w:r>
          </w:p>
        </w:tc>
        <w:tc>
          <w:tcPr>
            <w:tcW w:type="dxa" w:w="4060"/>
            <w:tcMar>
              <w:top w:type="dxa" w:w="95"/>
              <w:left w:type="dxa" w:w="135"/>
              <w:bottom w:type="dxa" w:w="95"/>
              <w:right w:type="dxa" w:w="135"/>
            </w:tcMar>
          </w:tcPr>
          <w:p>
            <w:r>
              <w:rPr>
                <w:sz w:val="20"/>
                <w:szCs w:val="20"/>
              </w:rPr>
              <w:t xml:space="preserve">The code should not be on the claim at all.</w:t>
            </w:r>
          </w:p>
        </w:tc>
      </w:tr>
      <w:tr>
        <w:tc>
          <w:tcPr>
            <w:tcW w:type="dxa" w:w="1400"/>
            <w:tcMar>
              <w:top w:type="dxa" w:w="95"/>
              <w:left w:type="dxa" w:w="135"/>
              <w:bottom w:type="dxa" w:w="95"/>
              <w:right w:type="dxa" w:w="135"/>
            </w:tcMar>
          </w:tcPr>
          <w:p>
            <w:r>
              <w:rPr>
                <w:sz w:val="20"/>
                <w:szCs w:val="20"/>
              </w:rPr>
              <w:t xml:space="preserve">Add</w:t>
            </w:r>
          </w:p>
        </w:tc>
        <w:tc>
          <w:tcPr>
            <w:tcW w:type="dxa" w:w="3900"/>
            <w:tcMar>
              <w:top w:type="dxa" w:w="95"/>
              <w:left w:type="dxa" w:w="135"/>
              <w:bottom w:type="dxa" w:w="95"/>
              <w:right w:type="dxa" w:w="135"/>
            </w:tcMar>
          </w:tcPr>
          <w:p>
            <w:r>
              <w:rPr>
                <w:sz w:val="20"/>
                <w:szCs w:val="20"/>
              </w:rPr>
              <w:t xml:space="preserve">Press “Add a missing code”</w:t>
            </w:r>
          </w:p>
        </w:tc>
        <w:tc>
          <w:tcPr>
            <w:tcW w:type="dxa" w:w="4060"/>
            <w:tcMar>
              <w:top w:type="dxa" w:w="95"/>
              <w:left w:type="dxa" w:w="135"/>
              <w:bottom w:type="dxa" w:w="95"/>
              <w:right w:type="dxa" w:w="135"/>
            </w:tcMar>
          </w:tcPr>
          <w:p>
            <w:r>
              <w:rPr>
                <w:sz w:val="20"/>
                <w:szCs w:val="20"/>
              </w:rPr>
              <w:t xml:space="preserve">A code the documentation supports is missing.</w:t>
            </w:r>
          </w:p>
        </w:tc>
      </w:tr>
    </w:tbl>
    <w:p>
      <w:pPr>
        <w:spacing w:after="100" w:before="0" w:line="20"/>
      </w:pP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What counts</w:t>
            </w:r>
          </w:p>
          <w:p>
            <w:pPr>
              <w:spacing w:after="65" w:line="285"/>
            </w:pPr>
            <w:r>
              <w:rPr>
                <w:b/>
                <w:bCs/>
                <w:sz w:val="21"/>
                <w:szCs w:val="21"/>
              </w:rPr>
              <w:t xml:space="preserve">A finding counts only when you both spot it and correct it. </w:t>
            </w:r>
            <w:r>
              <w:rPr>
                <w:sz w:val="21"/>
                <w:szCs w:val="21"/>
              </w:rPr>
              <w:t xml:space="preserve">Deleting a line or changing a code without putting the right one in its place does not score. And changing a correct code costs you — restraint is measured as carefully as detection.</w:t>
            </w:r>
          </w:p>
        </w:tc>
      </w:tr>
    </w:tbl>
    <w:p>
      <w:pPr>
        <w:spacing w:after="100" w:before="0" w:line="20"/>
      </w:pPr>
    </w:p>
    <w:p>
      <w:pPr>
        <w:pStyle w:val="Heading2"/>
        <w:keepNext/>
        <w:keepLines/>
        <w:spacing w:after="130" w:before="300"/>
      </w:pPr>
      <w:r>
        <w:rPr>
          <w:b/>
          <w:bCs/>
          <w:color w:val="1F3864"/>
          <w:sz w:val="24"/>
          <w:szCs w:val="24"/>
        </w:rPr>
        <w:t xml:space="preserve">Queries, notes and submitting</w:t>
      </w:r>
    </w:p>
    <w:p>
      <w:pPr>
        <w:pStyle w:val="ListParagraph"/>
        <w:numPr>
          <w:ilvl w:val="0"/>
          <w:numId w:val="5"/>
        </w:numPr>
        <w:spacing w:after="85" w:line="285"/>
      </w:pPr>
      <w:r>
        <w:rPr>
          <w:sz w:val="21"/>
          <w:szCs w:val="21"/>
        </w:rPr>
        <w:t xml:space="preserve">Physician Query — if the documentation is unclear, answer “Yes — needs a query” and write what you need clarified.</w:t>
      </w:r>
    </w:p>
    <w:p>
      <w:pPr>
        <w:pStyle w:val="ListParagraph"/>
        <w:numPr>
          <w:ilvl w:val="0"/>
          <w:numId w:val="5"/>
        </w:numPr>
        <w:spacing w:after="85" w:line="285"/>
      </w:pPr>
      <w:r>
        <w:rPr>
          <w:sz w:val="21"/>
          <w:szCs w:val="21"/>
        </w:rPr>
        <w:t xml:space="preserve">Notes — optional, for your trainer.</w:t>
      </w:r>
    </w:p>
    <w:p>
      <w:pPr>
        <w:pStyle w:val="ListParagraph"/>
        <w:numPr>
          <w:ilvl w:val="0"/>
          <w:numId w:val="5"/>
        </w:numPr>
        <w:spacing w:after="85" w:line="285"/>
      </w:pPr>
      <w:r>
        <w:rPr>
          <w:sz w:val="21"/>
          <w:szCs w:val="21"/>
        </w:rPr>
        <w:t xml:space="preserve">Save progress as you go; press Submit Audit when every chart is reviewed. Review Before Submit shows what is left, and submitting is final.</w:t>
      </w:r>
    </w:p>
    <w:p>
      <w:pPr>
        <w:pStyle w:val="Heading1"/>
        <w:keepNext/>
        <w:keepLines/>
        <w:spacing w:after="170" w:before="400"/>
      </w:pPr>
      <w:r>
        <w:rPr>
          <w:b/>
          <w:bCs/>
          <w:color w:val="1F3864"/>
          <w:sz w:val="30"/>
          <w:szCs w:val="30"/>
        </w:rPr>
        <w:t xml:space="preserve">Sitting an assessment</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assessment entry page.</w:t>
      </w:r>
    </w:p>
    <w:p>
      <w:pPr>
        <w:pStyle w:val="Heading2"/>
        <w:keepNext/>
        <w:keepLines/>
        <w:spacing w:after="130" w:before="300"/>
      </w:pPr>
      <w:r>
        <w:rPr>
          <w:b/>
          <w:bCs/>
          <w:color w:val="1F3864"/>
          <w:sz w:val="24"/>
          <w:szCs w:val="24"/>
        </w:rPr>
        <w:t xml:space="preserve">How to sit it</w:t>
      </w:r>
    </w:p>
    <w:p>
      <w:pPr>
        <w:pStyle w:val="ListParagraph"/>
        <w:numPr>
          <w:ilvl w:val="0"/>
          <w:numId w:val="8"/>
        </w:numPr>
        <w:spacing w:after="85" w:line="285"/>
      </w:pPr>
      <w:r>
        <w:rPr>
          <w:sz w:val="21"/>
          <w:szCs w:val="21"/>
        </w:rPr>
        <w:t xml:space="preserve">Click Assessment on the home screen, enter your Assessment ID and press Find My Assessment.</w:t>
      </w:r>
    </w:p>
    <w:p>
      <w:pPr>
        <w:pStyle w:val="ListParagraph"/>
        <w:numPr>
          <w:ilvl w:val="0"/>
          <w:numId w:val="8"/>
        </w:numPr>
        <w:spacing w:after="85" w:line="285"/>
      </w:pPr>
      <w:r>
        <w:rPr>
          <w:sz w:val="21"/>
          <w:szCs w:val="21"/>
        </w:rPr>
        <w:t xml:space="preserve">Read the Ready to Begin screen — number of questions and time allowed. The clock starts when you press Start Assessment.</w:t>
      </w:r>
    </w:p>
    <w:p>
      <w:pPr>
        <w:pStyle w:val="ListParagraph"/>
        <w:numPr>
          <w:ilvl w:val="0"/>
          <w:numId w:val="8"/>
        </w:numPr>
        <w:spacing w:after="85" w:line="285"/>
      </w:pPr>
      <w:r>
        <w:rPr>
          <w:sz w:val="21"/>
          <w:szCs w:val="21"/>
        </w:rPr>
        <w:t xml:space="preserve">Answer each question. Move freely between them from the question list; answers save as you go. Unanswered questions show as Skipped.</w:t>
      </w:r>
    </w:p>
    <w:p>
      <w:pPr>
        <w:pStyle w:val="ListParagraph"/>
        <w:numPr>
          <w:ilvl w:val="0"/>
          <w:numId w:val="8"/>
        </w:numPr>
        <w:spacing w:after="85" w:line="285"/>
      </w:pPr>
      <w:r>
        <w:rPr>
          <w:sz w:val="21"/>
          <w:szCs w:val="21"/>
        </w:rPr>
        <w:t xml:space="preserve">Open Review &amp; Submit to check what is left, then press Final Submit and confirm.</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The clock does not stop</w:t>
            </w:r>
          </w:p>
          <w:p>
            <w:pPr>
              <w:spacing w:after="65" w:line="285"/>
            </w:pPr>
            <w:r>
              <w:rPr>
                <w:sz w:val="21"/>
                <w:szCs w:val="21"/>
              </w:rPr>
              <w:t xml:space="preserve">Closing the window does not pause it. When time runs out the paper submits itself with whatever you answered. A submitted paper cannot be reopened.</w:t>
            </w:r>
          </w:p>
          <w:p>
            <w:pPr>
              <w:spacing w:after="65" w:line="285"/>
            </w:pPr>
            <w:r>
              <w:rPr>
                <w:sz w:val="21"/>
                <w:szCs w:val="21"/>
              </w:rPr>
              <w:t xml:space="preserve">An Assessment ID is valid for 8 hours from when it was issued.</w:t>
            </w:r>
          </w:p>
        </w:tc>
      </w:tr>
    </w:tbl>
    <w:p>
      <w:pPr>
        <w:spacing w:after="100" w:before="0" w:line="20"/>
      </w:pPr>
    </w:p>
    <w:p>
      <w:pPr>
        <w:spacing w:after="130" w:line="285"/>
      </w:pPr>
      <w:r>
        <w:rPr>
          <w:sz w:val="21"/>
          <w:szCs w:val="21"/>
        </w:rPr>
        <w:t xml:space="preserve">Afterwards you see either your result — score, pass mark, PASS or DID NOT PASS — or a message that your trainer will share it. Which one depends on how your trainer set up the assessment. You never see the questions again, because they are reused.</w:t>
      </w:r>
    </w:p>
    <w:p>
      <w:pPr>
        <w:pStyle w:val="Heading1"/>
        <w:keepNext/>
        <w:keepLines/>
        <w:spacing w:after="170" w:before="400"/>
      </w:pPr>
      <w:r>
        <w:rPr>
          <w:b/>
          <w:bCs/>
          <w:color w:val="1F3864"/>
          <w:sz w:val="30"/>
          <w:szCs w:val="30"/>
        </w:rPr>
        <w:t xml:space="preserve">Good to know</w:t>
      </w:r>
    </w:p>
    <w:p>
      <w:pPr>
        <w:pStyle w:val="Heading2"/>
        <w:keepNext/>
        <w:keepLines/>
        <w:spacing w:after="130" w:before="300"/>
      </w:pPr>
      <w:r>
        <w:rPr>
          <w:b/>
          <w:bCs/>
          <w:color w:val="1F3864"/>
          <w:sz w:val="24"/>
          <w:szCs w:val="24"/>
        </w:rPr>
        <w:t xml:space="preserve">One device at a time</w:t>
      </w:r>
    </w:p>
    <w:p>
      <w:pPr>
        <w:spacing w:after="130" w:line="285"/>
      </w:pPr>
      <w:r>
        <w:rPr>
          <w:sz w:val="21"/>
          <w:szCs w:val="21"/>
        </w:rPr>
        <w:t xml:space="preserve">A code can be open on only one browser at a time, so nobody else can work on your charts while you are. If you move computers, close PracticeLab on the first one before opening it on the second. If you forget, the hold releases itself after 90 minutes of inactivity, or your trainer can release it straight away.</w:t>
      </w:r>
    </w:p>
    <w:p>
      <w:pPr>
        <w:pStyle w:val="Heading2"/>
        <w:keepNext/>
        <w:keepLines/>
        <w:spacing w:after="130" w:before="300"/>
      </w:pPr>
      <w:r>
        <w:rPr>
          <w:b/>
          <w:bCs/>
          <w:color w:val="1F3864"/>
          <w:sz w:val="24"/>
          <w:szCs w:val="24"/>
        </w:rPr>
        <w:t xml:space="preserve">When your batch closes</w:t>
      </w:r>
    </w:p>
    <w:p>
      <w:pPr>
        <w:spacing w:after="130" w:line="285"/>
      </w:pPr>
      <w:r>
        <w:rPr>
          <w:sz w:val="21"/>
          <w:szCs w:val="21"/>
        </w:rPr>
        <w:t xml:space="preserve">When your trainer closes a batch, you can no longer save or submit work in it. You can still open your code to read your own results and feedback.</w:t>
      </w:r>
    </w:p>
    <w:p>
      <w:pPr>
        <w:pStyle w:val="Heading2"/>
        <w:keepNext/>
        <w:keepLines/>
        <w:spacing w:after="130" w:before="300"/>
      </w:pPr>
      <w:r>
        <w:rPr>
          <w:b/>
          <w:bCs/>
          <w:color w:val="1F3864"/>
          <w:sz w:val="24"/>
          <w:szCs w:val="24"/>
        </w:rPr>
        <w:t xml:space="preserve">Troubleshooting</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3180"/>
        <w:gridCol w:w="3180"/>
      </w:tblGrid>
      <w:tr>
        <w:trPr>
          <w:tblHeader/>
        </w:trPr>
        <w:tc>
          <w:tcPr>
            <w:tcW w:type="dxa" w:w="3000"/>
            <w:shd w:fill="DCE6F1" w:val="clear"/>
            <w:tcMar>
              <w:top w:type="dxa" w:w="95"/>
              <w:left w:type="dxa" w:w="135"/>
              <w:bottom w:type="dxa" w:w="95"/>
              <w:right w:type="dxa" w:w="135"/>
            </w:tcMar>
          </w:tcPr>
          <w:p>
            <w:r>
              <w:rPr>
                <w:b/>
                <w:bCs/>
                <w:color w:val="1F3864"/>
                <w:sz w:val="20"/>
                <w:szCs w:val="20"/>
              </w:rPr>
              <w:t xml:space="preserve">What you see</w:t>
            </w:r>
          </w:p>
        </w:tc>
        <w:tc>
          <w:tcPr>
            <w:tcW w:type="dxa" w:w="3180"/>
            <w:shd w:fill="DCE6F1" w:val="clear"/>
            <w:tcMar>
              <w:top w:type="dxa" w:w="95"/>
              <w:left w:type="dxa" w:w="135"/>
              <w:bottom w:type="dxa" w:w="95"/>
              <w:right w:type="dxa" w:w="135"/>
            </w:tcMar>
          </w:tcPr>
          <w:p>
            <w:r>
              <w:rPr>
                <w:b/>
                <w:bCs/>
                <w:color w:val="1F3864"/>
                <w:sz w:val="20"/>
                <w:szCs w:val="20"/>
              </w:rPr>
              <w:t xml:space="preserve">What it means</w:t>
            </w:r>
          </w:p>
        </w:tc>
        <w:tc>
          <w:tcPr>
            <w:tcW w:type="dxa" w:w="3180"/>
            <w:shd w:fill="DCE6F1" w:val="clear"/>
            <w:tcMar>
              <w:top w:type="dxa" w:w="95"/>
              <w:left w:type="dxa" w:w="135"/>
              <w:bottom w:type="dxa" w:w="95"/>
              <w:right w:type="dxa" w:w="135"/>
            </w:tcMar>
          </w:tcPr>
          <w:p>
            <w:r>
              <w:rPr>
                <w:b/>
                <w:bCs/>
                <w:color w:val="1F3864"/>
                <w:sz w:val="20"/>
                <w:szCs w:val="20"/>
              </w:rPr>
              <w:t xml:space="preserve">What to do</w:t>
            </w:r>
          </w:p>
        </w:tc>
      </w:tr>
      <w:tr>
        <w:tc>
          <w:tcPr>
            <w:tcW w:type="dxa" w:w="3000"/>
            <w:tcMar>
              <w:top w:type="dxa" w:w="95"/>
              <w:left w:type="dxa" w:w="135"/>
              <w:bottom w:type="dxa" w:w="95"/>
              <w:right w:type="dxa" w:w="135"/>
            </w:tcMar>
          </w:tcPr>
          <w:p>
            <w:r>
              <w:rPr>
                <w:sz w:val="20"/>
                <w:szCs w:val="20"/>
              </w:rPr>
              <w:t xml:space="preserve">“Access code not found”</w:t>
            </w:r>
          </w:p>
        </w:tc>
        <w:tc>
          <w:tcPr>
            <w:tcW w:type="dxa" w:w="3180"/>
            <w:tcMar>
              <w:top w:type="dxa" w:w="95"/>
              <w:left w:type="dxa" w:w="135"/>
              <w:bottom w:type="dxa" w:w="95"/>
              <w:right w:type="dxa" w:w="135"/>
            </w:tcMar>
          </w:tcPr>
          <w:p>
            <w:r>
              <w:rPr>
                <w:sz w:val="20"/>
                <w:szCs w:val="20"/>
              </w:rPr>
              <w:t xml:space="preserve">The code was mistyped, or it is not a practice or audit code.</w:t>
            </w:r>
          </w:p>
        </w:tc>
        <w:tc>
          <w:tcPr>
            <w:tcW w:type="dxa" w:w="3180"/>
            <w:tcMar>
              <w:top w:type="dxa" w:w="95"/>
              <w:left w:type="dxa" w:w="135"/>
              <w:bottom w:type="dxa" w:w="95"/>
              <w:right w:type="dxa" w:w="135"/>
            </w:tcMar>
          </w:tcPr>
          <w:p>
            <w:r>
              <w:rPr>
                <w:sz w:val="20"/>
                <w:szCs w:val="20"/>
              </w:rPr>
              <w:t xml:space="preserve">Check it character by character. Assessment IDs go in Assessment, not Practice.</w:t>
            </w:r>
          </w:p>
        </w:tc>
      </w:tr>
      <w:tr>
        <w:tc>
          <w:tcPr>
            <w:tcW w:type="dxa" w:w="3000"/>
            <w:tcMar>
              <w:top w:type="dxa" w:w="95"/>
              <w:left w:type="dxa" w:w="135"/>
              <w:bottom w:type="dxa" w:w="95"/>
              <w:right w:type="dxa" w:w="135"/>
            </w:tcMar>
          </w:tcPr>
          <w:p>
            <w:r>
              <w:rPr>
                <w:sz w:val="20"/>
                <w:szCs w:val="20"/>
              </w:rPr>
              <w:t xml:space="preserve">“This access code is already open on another device”</w:t>
            </w:r>
          </w:p>
        </w:tc>
        <w:tc>
          <w:tcPr>
            <w:tcW w:type="dxa" w:w="3180"/>
            <w:tcMar>
              <w:top w:type="dxa" w:w="95"/>
              <w:left w:type="dxa" w:w="135"/>
              <w:bottom w:type="dxa" w:w="95"/>
              <w:right w:type="dxa" w:w="135"/>
            </w:tcMar>
          </w:tcPr>
          <w:p>
            <w:r>
              <w:rPr>
                <w:sz w:val="20"/>
                <w:szCs w:val="20"/>
              </w:rPr>
              <w:t xml:space="preserve">Your code is open in another browser or on another computer.</w:t>
            </w:r>
          </w:p>
        </w:tc>
        <w:tc>
          <w:tcPr>
            <w:tcW w:type="dxa" w:w="3180"/>
            <w:tcMar>
              <w:top w:type="dxa" w:w="95"/>
              <w:left w:type="dxa" w:w="135"/>
              <w:bottom w:type="dxa" w:w="95"/>
              <w:right w:type="dxa" w:w="135"/>
            </w:tcMar>
          </w:tcPr>
          <w:p>
            <w:r>
              <w:rPr>
                <w:sz w:val="20"/>
                <w:szCs w:val="20"/>
              </w:rPr>
              <w:t xml:space="preserve">Close it there and try again, or ask your trainer to release it.</w:t>
            </w:r>
          </w:p>
        </w:tc>
      </w:tr>
      <w:tr>
        <w:tc>
          <w:tcPr>
            <w:tcW w:type="dxa" w:w="3000"/>
            <w:tcMar>
              <w:top w:type="dxa" w:w="95"/>
              <w:left w:type="dxa" w:w="135"/>
              <w:bottom w:type="dxa" w:w="95"/>
              <w:right w:type="dxa" w:w="135"/>
            </w:tcMar>
          </w:tcPr>
          <w:p>
            <w:r>
              <w:rPr>
                <w:sz w:val="20"/>
                <w:szCs w:val="20"/>
              </w:rPr>
              <w:t xml:space="preserve">“Could not save — check your connection”</w:t>
            </w:r>
          </w:p>
        </w:tc>
        <w:tc>
          <w:tcPr>
            <w:tcW w:type="dxa" w:w="3180"/>
            <w:tcMar>
              <w:top w:type="dxa" w:w="95"/>
              <w:left w:type="dxa" w:w="135"/>
              <w:bottom w:type="dxa" w:w="95"/>
              <w:right w:type="dxa" w:w="135"/>
            </w:tcMar>
          </w:tcPr>
          <w:p>
            <w:r>
              <w:rPr>
                <w:sz w:val="20"/>
                <w:szCs w:val="20"/>
              </w:rPr>
              <w:t xml:space="preserve">The last save did not reach the server.</w:t>
            </w:r>
          </w:p>
        </w:tc>
        <w:tc>
          <w:tcPr>
            <w:tcW w:type="dxa" w:w="3180"/>
            <w:tcMar>
              <w:top w:type="dxa" w:w="95"/>
              <w:left w:type="dxa" w:w="135"/>
              <w:bottom w:type="dxa" w:w="95"/>
              <w:right w:type="dxa" w:w="135"/>
            </w:tcMar>
          </w:tcPr>
          <w:p>
            <w:r>
              <w:rPr>
                <w:sz w:val="20"/>
                <w:szCs w:val="20"/>
              </w:rPr>
              <w:t xml:space="preserve">Check your connection and save again before leaving the chart.</w:t>
            </w:r>
          </w:p>
        </w:tc>
      </w:tr>
      <w:tr>
        <w:tc>
          <w:tcPr>
            <w:tcW w:type="dxa" w:w="3000"/>
            <w:tcMar>
              <w:top w:type="dxa" w:w="95"/>
              <w:left w:type="dxa" w:w="135"/>
              <w:bottom w:type="dxa" w:w="95"/>
              <w:right w:type="dxa" w:w="135"/>
            </w:tcMar>
          </w:tcPr>
          <w:p>
            <w:r>
              <w:rPr>
                <w:sz w:val="20"/>
                <w:szCs w:val="20"/>
              </w:rPr>
              <w:t xml:space="preserve">Cannot submit; batch closed</w:t>
            </w:r>
          </w:p>
        </w:tc>
        <w:tc>
          <w:tcPr>
            <w:tcW w:type="dxa" w:w="3180"/>
            <w:tcMar>
              <w:top w:type="dxa" w:w="95"/>
              <w:left w:type="dxa" w:w="135"/>
              <w:bottom w:type="dxa" w:w="95"/>
              <w:right w:type="dxa" w:w="135"/>
            </w:tcMar>
          </w:tcPr>
          <w:p>
            <w:r>
              <w:rPr>
                <w:sz w:val="20"/>
                <w:szCs w:val="20"/>
              </w:rPr>
              <w:t xml:space="preserve">Your trainer has closed the batch.</w:t>
            </w:r>
          </w:p>
        </w:tc>
        <w:tc>
          <w:tcPr>
            <w:tcW w:type="dxa" w:w="3180"/>
            <w:tcMar>
              <w:top w:type="dxa" w:w="95"/>
              <w:left w:type="dxa" w:w="135"/>
              <w:bottom w:type="dxa" w:w="95"/>
              <w:right w:type="dxa" w:w="135"/>
            </w:tcMar>
          </w:tcPr>
          <w:p>
            <w:r>
              <w:rPr>
                <w:sz w:val="20"/>
                <w:szCs w:val="20"/>
              </w:rPr>
              <w:t xml:space="preserve">Contact your trainer. Your feedback is still readable.</w:t>
            </w:r>
          </w:p>
        </w:tc>
      </w:tr>
      <w:tr>
        <w:tc>
          <w:tcPr>
            <w:tcW w:type="dxa" w:w="3000"/>
            <w:tcMar>
              <w:top w:type="dxa" w:w="95"/>
              <w:left w:type="dxa" w:w="135"/>
              <w:bottom w:type="dxa" w:w="95"/>
              <w:right w:type="dxa" w:w="135"/>
            </w:tcMar>
          </w:tcPr>
          <w:p>
            <w:r>
              <w:rPr>
                <w:sz w:val="20"/>
                <w:szCs w:val="20"/>
              </w:rPr>
              <w:t xml:space="preserve">“Some diagnoses are missing POA selection”</w:t>
            </w:r>
          </w:p>
        </w:tc>
        <w:tc>
          <w:tcPr>
            <w:tcW w:type="dxa" w:w="3180"/>
            <w:tcMar>
              <w:top w:type="dxa" w:w="95"/>
              <w:left w:type="dxa" w:w="135"/>
              <w:bottom w:type="dxa" w:w="95"/>
              <w:right w:type="dxa" w:w="135"/>
            </w:tcMar>
          </w:tcPr>
          <w:p>
            <w:r>
              <w:rPr>
                <w:sz w:val="20"/>
                <w:szCs w:val="20"/>
              </w:rPr>
              <w:t xml:space="preserve">An inpatient diagnosis has no POA.</w:t>
            </w:r>
          </w:p>
        </w:tc>
        <w:tc>
          <w:tcPr>
            <w:tcW w:type="dxa" w:w="3180"/>
            <w:tcMar>
              <w:top w:type="dxa" w:w="95"/>
              <w:left w:type="dxa" w:w="135"/>
              <w:bottom w:type="dxa" w:w="95"/>
              <w:right w:type="dxa" w:w="135"/>
            </w:tcMar>
          </w:tcPr>
          <w:p>
            <w:r>
              <w:rPr>
                <w:sz w:val="20"/>
                <w:szCs w:val="20"/>
              </w:rPr>
              <w:t xml:space="preserve">Choose a POA for each diagnosis.</w:t>
            </w:r>
          </w:p>
        </w:tc>
      </w:tr>
      <w:tr>
        <w:tc>
          <w:tcPr>
            <w:tcW w:type="dxa" w:w="3000"/>
            <w:tcMar>
              <w:top w:type="dxa" w:w="95"/>
              <w:left w:type="dxa" w:w="135"/>
              <w:bottom w:type="dxa" w:w="95"/>
              <w:right w:type="dxa" w:w="135"/>
            </w:tcMar>
          </w:tcPr>
          <w:p>
            <w:r>
              <w:rPr>
                <w:sz w:val="20"/>
                <w:szCs w:val="20"/>
              </w:rPr>
              <w:t xml:space="preserve">Chart text not available</w:t>
            </w:r>
          </w:p>
        </w:tc>
        <w:tc>
          <w:tcPr>
            <w:tcW w:type="dxa" w:w="3180"/>
            <w:tcMar>
              <w:top w:type="dxa" w:w="95"/>
              <w:left w:type="dxa" w:w="135"/>
              <w:bottom w:type="dxa" w:w="95"/>
              <w:right w:type="dxa" w:w="135"/>
            </w:tcMar>
          </w:tcPr>
          <w:p>
            <w:r>
              <w:rPr>
                <w:sz w:val="20"/>
                <w:szCs w:val="20"/>
              </w:rPr>
              <w:t xml:space="preserve">The chart was scanned without readable text.</w:t>
            </w:r>
          </w:p>
        </w:tc>
        <w:tc>
          <w:tcPr>
            <w:tcW w:type="dxa" w:w="3180"/>
            <w:tcMar>
              <w:top w:type="dxa" w:w="95"/>
              <w:left w:type="dxa" w:w="135"/>
              <w:bottom w:type="dxa" w:w="95"/>
              <w:right w:type="dxa" w:w="135"/>
            </w:tcMar>
          </w:tcPr>
          <w:p>
            <w:r>
              <w:rPr>
                <w:sz w:val="20"/>
                <w:szCs w:val="20"/>
              </w:rPr>
              <w:t xml:space="preserve">Use Image mode.</w:t>
            </w:r>
          </w:p>
        </w:tc>
      </w:tr>
      <w:tr>
        <w:tc>
          <w:tcPr>
            <w:tcW w:type="dxa" w:w="3000"/>
            <w:tcMar>
              <w:top w:type="dxa" w:w="95"/>
              <w:left w:type="dxa" w:w="135"/>
              <w:bottom w:type="dxa" w:w="95"/>
              <w:right w:type="dxa" w:w="135"/>
            </w:tcMar>
          </w:tcPr>
          <w:p>
            <w:r>
              <w:rPr>
                <w:sz w:val="20"/>
                <w:szCs w:val="20"/>
              </w:rPr>
              <w:t xml:space="preserve">“Assessment not found”</w:t>
            </w:r>
          </w:p>
        </w:tc>
        <w:tc>
          <w:tcPr>
            <w:tcW w:type="dxa" w:w="3180"/>
            <w:tcMar>
              <w:top w:type="dxa" w:w="95"/>
              <w:left w:type="dxa" w:w="135"/>
              <w:bottom w:type="dxa" w:w="95"/>
              <w:right w:type="dxa" w:w="135"/>
            </w:tcMar>
          </w:tcPr>
          <w:p>
            <w:r>
              <w:rPr>
                <w:sz w:val="20"/>
                <w:szCs w:val="20"/>
              </w:rPr>
              <w:t xml:space="preserve">The Assessment ID is wrong or has expired.</w:t>
            </w:r>
          </w:p>
        </w:tc>
        <w:tc>
          <w:tcPr>
            <w:tcW w:type="dxa" w:w="3180"/>
            <w:tcMar>
              <w:top w:type="dxa" w:w="95"/>
              <w:left w:type="dxa" w:w="135"/>
              <w:bottom w:type="dxa" w:w="95"/>
              <w:right w:type="dxa" w:w="135"/>
            </w:tcMar>
          </w:tcPr>
          <w:p>
            <w:r>
              <w:rPr>
                <w:sz w:val="20"/>
                <w:szCs w:val="20"/>
              </w:rPr>
              <w:t xml:space="preserve">Check it, or ask your trainer for a new one.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PracticeLab — User Guide — Coders and Auditors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lvl w:ilvl="1" w15:tentative="1">
      <w:start w:val="1"/>
      <w:numFmt w:val="bullet"/>
      <w:lvlText w:val="◦"/>
      <w:lvlJc w:val="left"/>
      <w:pPr>
        <w:ind w:left="740" w:hanging="230"/>
      </w:p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d4a6ebad421ac0e150ee25cb056bd293b66255.png"/><Relationship Id="rId9" Type="http://schemas.openxmlformats.org/officeDocument/2006/relationships/image" Target="media/92f934c73872af929ffce2583eaa514176631f13.png"/><Relationship Id="rId10" Type="http://schemas.openxmlformats.org/officeDocument/2006/relationships/image" Target="media/5e586d5d74ef41c8c4e9f553aa779bb350819ec8.png"/><Relationship Id="rId11" Type="http://schemas.openxmlformats.org/officeDocument/2006/relationships/image" Target="media/d601c87eb1b4a8e86163a7efb84a73ab3b7b602a.png"/><Relationship Id="rId12" Type="http://schemas.openxmlformats.org/officeDocument/2006/relationships/image" Target="media/71cdffbcdbeef6e31404dacf537ff2f787a3f1dd.png"/><Relationship Id="rId13" Type="http://schemas.openxmlformats.org/officeDocument/2006/relationships/image" Target="media/81cbbe93cab9e8d5752dae5287725b452242810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PracticeLab — User Guide — Coders and Auditors</dc:title>
  <dc:creator>PracticeLab</dc:creator>
  <dc:description>Reading charts, coding and auditing assigned work, and sitting assessments</dc:description>
  <cp:lastModifiedBy>Un-named</cp:lastModifiedBy>
  <cp:revision>1</cp:revision>
  <dcterms:created xsi:type="dcterms:W3CDTF">2026-09-21T09:46:08.088Z</dcterms:created>
  <dcterms:modified xsi:type="dcterms:W3CDTF">2026-09-21T09:46:08.091Z</dcterms:modified>
</cp:coreProperties>
</file>

<file path=docProps/custom.xml><?xml version="1.0" encoding="utf-8"?>
<Properties xmlns="http://schemas.openxmlformats.org/officeDocument/2006/custom-properties" xmlns:vt="http://schemas.openxmlformats.org/officeDocument/2006/docPropsVTypes"/>
</file>