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10"/>
        <w:jc w:val="center"/>
      </w:pPr>
      <w:r>
        <w:rPr>
          <w:b/>
          <w:bCs/>
          <w:color w:val="1F3864"/>
          <w:sz w:val="56"/>
          <w:szCs w:val="56"/>
        </w:rPr>
        <w:t xml:space="preserve">PracticeLab</w:t>
      </w:r>
    </w:p>
    <w:p>
      <w:pPr>
        <w:spacing w:after="340"/>
        <w:jc w:val="center"/>
      </w:pPr>
      <w:r>
        <w:rPr>
          <w:color w:val="2E75B6"/>
          <w:sz w:val="30"/>
          <w:szCs w:val="30"/>
        </w:rPr>
        <w:t xml:space="preserve">Container Deployment Guide</w:t>
      </w:r>
    </w:p>
    <w:p>
      <w:pPr>
        <w:pBdr>
          <w:top w:val="single" w:color="BFBFBF" w:sz="6"/>
        </w:pBdr>
        <w:spacing w:after="60"/>
        <w:jc w:val="center"/>
      </w:pPr>
      <w:r>
        <w:t xml:space="preserve"/>
      </w:r>
    </w:p>
    <w:p>
      <w:pPr>
        <w:spacing w:after="90" w:before="220"/>
        <w:jc w:val="center"/>
      </w:pPr>
      <w:r>
        <w:rPr>
          <w:i/>
          <w:iCs/>
          <w:color w:val="595959"/>
          <w:sz w:val="21"/>
          <w:szCs w:val="21"/>
        </w:rPr>
        <w:t xml:space="preserve">Build · configure · run · verify · update</w:t>
      </w:r>
    </w:p>
    <w:p>
      <w:pPr>
        <w:spacing w:after="90"/>
        <w:jc w:val="center"/>
      </w:pPr>
      <w:r>
        <w:rPr>
          <w:color w:val="595959"/>
          <w:sz w:val="20"/>
          <w:szCs w:val="20"/>
        </w:rPr>
        <w:t xml:space="preserve">Audience: infrastructure and platform engineers</w:t>
      </w:r>
    </w:p>
    <w:p>
      <w:pPr>
        <w:spacing w:before="560"/>
        <w:jc w:val="center"/>
      </w:pPr>
      <w:r>
        <w:rPr>
          <w:color w:val="595959"/>
          <w:sz w:val="19"/>
          <w:szCs w:val="19"/>
        </w:rPr>
        <w:t xml:space="preserve">Version 1.0  ·  24 August 2026</w:t>
      </w:r>
    </w:p>
    <w:p>
      <w:r>
        <w:br w:type="page"/>
      </w:r>
    </w:p>
    <w:p>
      <w:pPr>
        <w:pStyle w:val="Heading1"/>
        <w:spacing w:after="170" w:before="400"/>
      </w:pPr>
      <w:r>
        <w:rPr>
          <w:b/>
          <w:bCs/>
          <w:color w:val="1F3864"/>
          <w:sz w:val="30"/>
          <w:szCs w:val="30"/>
        </w:rPr>
        <w:t xml:space="preserve">About this document</w:t>
      </w:r>
    </w:p>
    <w:p>
      <w:pPr>
        <w:spacing w:after="130" w:line="285"/>
      </w:pPr>
      <w:r>
        <w:rPr>
          <w:sz w:val="21"/>
          <w:szCs w:val="21"/>
        </w:rPr>
        <w:t xml:space="preserve">PracticeLab is a web application for training and assessing medical coders. This guide covers running it from the container image defined by the Dockerfile at the repository root: what the image contains, how to build and configure it, what happens when it starts, how to confirm it is genuinely working, and how to deploy a later version.</w:t>
      </w:r>
    </w:p>
    <w:p>
      <w:pPr>
        <w:spacing w:after="130" w:line="285"/>
      </w:pPr>
      <w:r>
        <w:rPr>
          <w:sz w:val="21"/>
          <w:szCs w:val="21"/>
        </w:rPr>
        <w:t xml:space="preserve">It assumes no familiarity with the application. It does not cover the database migration itself, which has its own document, nor application features or grading rules.</w:t>
      </w:r>
    </w:p>
    <w:tbl>
      <w:tblPr>
        <w:tblW w:type="dxa" w:w="9360"/>
        <w:tblBorders>
          <w:top w:val="single" w:color="2E75B6" w:sz="4"/>
          <w:left w:val="single" w:color="2E75B6" w:sz="18"/>
          <w:bottom w:val="single" w:color="2E75B6" w:sz="4"/>
          <w:right w:val="single" w:color="2E75B6" w:sz="4"/>
          <w:insideH w:val="single" w:color="auto" w:sz="4"/>
          <w:insideV w:val="single" w:color="auto" w:sz="4"/>
        </w:tblBorders>
      </w:tblPr>
      <w:tblGrid>
        <w:gridCol w:w="9360"/>
      </w:tblGrid>
      <w:tr>
        <w:tc>
          <w:tcPr>
            <w:tcW w:type="dxa" w:w="9360"/>
            <w:shd w:fill="EEF4FB" w:val="clear"/>
            <w:tcMar>
              <w:top w:type="dxa" w:w="150"/>
              <w:left w:type="dxa" w:w="190"/>
              <w:bottom w:type="dxa" w:w="150"/>
              <w:right w:type="dxa" w:w="190"/>
            </w:tcMar>
          </w:tcPr>
          <w:p>
            <w:pPr>
              <w:spacing w:after="85"/>
            </w:pPr>
            <w:r>
              <w:rPr>
                <w:b/>
                <w:bCs/>
                <w:color w:val="1F3864"/>
                <w:sz w:val="21"/>
                <w:szCs w:val="21"/>
              </w:rPr>
              <w:t xml:space="preserve">Everything here has been executed</w:t>
            </w:r>
          </w:p>
          <w:p>
            <w:pPr>
              <w:spacing w:after="65" w:line="285"/>
            </w:pPr>
            <w:r>
              <w:rPr>
                <w:sz w:val="21"/>
                <w:szCs w:val="21"/>
              </w:rPr>
              <w:t xml:space="preserve">The procedures and outputs in this guide are not written from the Dockerfile — the image was built, started, and exercised, and the values quoted are the values it returned. Where a failure is described, it is a failure that was actually produced.</w:t>
            </w:r>
          </w:p>
        </w:tc>
      </w:tr>
    </w:tbl>
    <w:p>
      <w:pPr>
        <w:pStyle w:val="Heading2"/>
        <w:spacing w:after="130" w:before="300"/>
      </w:pPr>
      <w:r>
        <w:rPr>
          <w:b/>
          <w:bCs/>
          <w:color w:val="1F3864"/>
          <w:sz w:val="24"/>
          <w:szCs w:val="24"/>
        </w:rPr>
        <w:t xml:space="preserve">Related documents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400"/>
        <w:gridCol w:w="5960"/>
      </w:tblGrid>
      <w:tr>
        <w:trPr>
          <w:tblHeader/>
        </w:trPr>
        <w:tc>
          <w:tcPr>
            <w:tcW w:type="dxa" w:w="3400"/>
            <w:shd w:fill="DCE6F1" w:val="clear"/>
            <w:tcMar>
              <w:top w:type="dxa" w:w="95"/>
              <w:left w:type="dxa" w:w="135"/>
              <w:bottom w:type="dxa" w:w="95"/>
              <w:right w:type="dxa" w:w="135"/>
            </w:tcMar>
          </w:tcPr>
          <w:p>
            <w:r>
              <w:rPr>
                <w:b/>
                <w:bCs/>
                <w:color w:val="1F3864"/>
                <w:sz w:val="20"/>
                <w:szCs w:val="20"/>
              </w:rPr>
              <w:t xml:space="preserve">Document</w:t>
            </w:r>
          </w:p>
        </w:tc>
        <w:tc>
          <w:tcPr>
            <w:tcW w:type="dxa" w:w="5960"/>
            <w:shd w:fill="DCE6F1" w:val="clear"/>
            <w:tcMar>
              <w:top w:type="dxa" w:w="95"/>
              <w:left w:type="dxa" w:w="135"/>
              <w:bottom w:type="dxa" w:w="95"/>
              <w:right w:type="dxa" w:w="135"/>
            </w:tcMar>
          </w:tcPr>
          <w:p>
            <w:r>
              <w:rPr>
                <w:b/>
                <w:bCs/>
                <w:color w:val="1F3864"/>
                <w:sz w:val="20"/>
                <w:szCs w:val="20"/>
              </w:rPr>
              <w:t xml:space="preserve">What it covers</w:t>
            </w:r>
          </w:p>
        </w:tc>
      </w:tr>
      <w:tr>
        <w:tc>
          <w:tcPr>
            <w:tcW w:type="dxa" w:w="3400"/>
            <w:tcMar>
              <w:top w:type="dxa" w:w="95"/>
              <w:left w:type="dxa" w:w="135"/>
              <w:bottom w:type="dxa" w:w="95"/>
              <w:right w:type="dxa" w:w="135"/>
            </w:tcMar>
          </w:tcPr>
          <w:p>
            <w:r>
              <w:rPr>
                <w:sz w:val="20"/>
                <w:szCs w:val="20"/>
              </w:rPr>
              <w:t xml:space="preserve">Data Architecture and Migration Specification</w:t>
            </w:r>
          </w:p>
        </w:tc>
        <w:tc>
          <w:tcPr>
            <w:tcW w:type="dxa" w:w="5960"/>
            <w:tcMar>
              <w:top w:type="dxa" w:w="95"/>
              <w:left w:type="dxa" w:w="135"/>
              <w:bottom w:type="dxa" w:w="95"/>
              <w:right w:type="dxa" w:w="135"/>
            </w:tcMar>
          </w:tcPr>
          <w:p>
            <w:r>
              <w:rPr>
                <w:sz w:val="20"/>
                <w:szCs w:val="20"/>
              </w:rPr>
              <w:t xml:space="preserve">The database schema, object storage, and the dump-and-restore procedure. Read it first — the database must exist before the container is useful.</w:t>
            </w:r>
          </w:p>
        </w:tc>
      </w:tr>
      <w:tr>
        <w:tc>
          <w:tcPr>
            <w:tcW w:type="dxa" w:w="3400"/>
            <w:tcMar>
              <w:top w:type="dxa" w:w="95"/>
              <w:left w:type="dxa" w:w="135"/>
              <w:bottom w:type="dxa" w:w="95"/>
              <w:right w:type="dxa" w:w="135"/>
            </w:tcMar>
          </w:tcPr>
          <w:p>
            <w:r>
              <w:rPr>
                <w:sz w:val="20"/>
                <w:szCs w:val="20"/>
              </w:rPr>
              <w:t xml:space="preserve">Database Schema Reference</w:t>
            </w:r>
          </w:p>
        </w:tc>
        <w:tc>
          <w:tcPr>
            <w:tcW w:type="dxa" w:w="5960"/>
            <w:tcMar>
              <w:top w:type="dxa" w:w="95"/>
              <w:left w:type="dxa" w:w="135"/>
              <w:bottom w:type="dxa" w:w="95"/>
              <w:right w:type="dxa" w:w="135"/>
            </w:tcMar>
          </w:tcPr>
          <w:p>
            <w:r>
              <w:rPr>
                <w:sz w:val="20"/>
                <w:szCs w:val="20"/>
              </w:rPr>
              <w:t xml:space="preserve">Every table and column.</w:t>
            </w:r>
          </w:p>
        </w:tc>
      </w:tr>
    </w:tbl>
    <w:p>
      <w:r>
        <w:br w:type="page"/>
      </w:r>
    </w:p>
    <w:p>
      <w:pPr>
        <w:pStyle w:val="Heading1"/>
        <w:spacing w:after="170" w:before="400"/>
      </w:pPr>
      <w:r>
        <w:rPr>
          <w:b/>
          <w:bCs/>
          <w:color w:val="1F3864"/>
          <w:sz w:val="30"/>
          <w:szCs w:val="30"/>
        </w:rPr>
        <w:t xml:space="preserve">1. What the image contains</w:t>
      </w:r>
    </w:p>
    <w:p>
      <w:pPr>
        <w:spacing w:after="130" w:line="285"/>
      </w:pPr>
      <w:r>
        <w:rPr>
          <w:sz w:val="21"/>
          <w:szCs w:val="21"/>
        </w:rPr>
        <w:t xml:space="preserve">The application is normally two pieces: a Python API and a compiled JavaScript interface. The image contains both, served by one process on one port. There is nothing to install on the host and nothing to build.</w:t>
      </w:r>
    </w:p>
    <w:p>
      <w:pPr>
        <w:pStyle w:val="Heading2"/>
        <w:spacing w:after="130" w:before="300"/>
      </w:pPr>
      <w:r>
        <w:rPr>
          <w:b/>
          <w:bCs/>
          <w:color w:val="1F3864"/>
          <w:sz w:val="24"/>
          <w:szCs w:val="24"/>
        </w:rPr>
        <w:t xml:space="preserve">1.1 Inside the image</w:t>
      </w:r>
    </w:p>
    <w:p>
      <w:pPr>
        <w:pStyle w:val="ListParagraph"/>
        <w:numPr>
          <w:ilvl w:val="0"/>
          <w:numId w:val="2"/>
        </w:numPr>
        <w:spacing w:after="85" w:line="285"/>
      </w:pPr>
      <w:r>
        <w:rPr>
          <w:sz w:val="21"/>
          <w:szCs w:val="21"/>
        </w:rPr>
        <w:t xml:space="preserve">Python 3.11.9 and the fourteen backend packages.</w:t>
      </w:r>
    </w:p>
    <w:p>
      <w:pPr>
        <w:pStyle w:val="ListParagraph"/>
        <w:numPr>
          <w:ilvl w:val="0"/>
          <w:numId w:val="2"/>
        </w:numPr>
        <w:spacing w:after="85" w:line="285"/>
      </w:pPr>
      <w:r>
        <w:rPr>
          <w:sz w:val="21"/>
          <w:szCs w:val="21"/>
        </w:rPr>
        <w:t xml:space="preserve">The compiled front end, built during the image build.</w:t>
      </w:r>
    </w:p>
    <w:p>
      <w:pPr>
        <w:pStyle w:val="Heading2"/>
        <w:spacing w:after="130" w:before="300"/>
      </w:pPr>
      <w:r>
        <w:rPr>
          <w:b/>
          <w:bCs/>
          <w:color w:val="1F3864"/>
          <w:sz w:val="24"/>
          <w:szCs w:val="24"/>
        </w:rPr>
        <w:t xml:space="preserve">1.2 Deliberately outside the image</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6760"/>
      </w:tblGrid>
      <w:tr>
        <w:trPr>
          <w:tblHeader/>
        </w:trPr>
        <w:tc>
          <w:tcPr>
            <w:tcW w:type="dxa" w:w="2600"/>
            <w:shd w:fill="DCE6F1" w:val="clear"/>
            <w:tcMar>
              <w:top w:type="dxa" w:w="95"/>
              <w:left w:type="dxa" w:w="135"/>
              <w:bottom w:type="dxa" w:w="95"/>
              <w:right w:type="dxa" w:w="135"/>
            </w:tcMar>
          </w:tcPr>
          <w:p>
            <w:r>
              <w:rPr>
                <w:b/>
                <w:bCs/>
                <w:color w:val="1F3864"/>
                <w:sz w:val="20"/>
                <w:szCs w:val="20"/>
              </w:rPr>
              <w:t xml:space="preserve">Not included</w:t>
            </w:r>
          </w:p>
        </w:tc>
        <w:tc>
          <w:tcPr>
            <w:tcW w:type="dxa" w:w="6760"/>
            <w:shd w:fill="DCE6F1" w:val="clear"/>
            <w:tcMar>
              <w:top w:type="dxa" w:w="95"/>
              <w:left w:type="dxa" w:w="135"/>
              <w:bottom w:type="dxa" w:w="95"/>
              <w:right w:type="dxa" w:w="135"/>
            </w:tcMar>
          </w:tcPr>
          <w:p>
            <w:r>
              <w:rPr>
                <w:b/>
                <w:bCs/>
                <w:color w:val="1F3864"/>
                <w:sz w:val="20"/>
                <w:szCs w:val="20"/>
              </w:rPr>
              <w:t xml:space="preserve">Why</w:t>
            </w:r>
          </w:p>
        </w:tc>
      </w:tr>
      <w:tr>
        <w:tc>
          <w:tcPr>
            <w:tcW w:type="dxa" w:w="2600"/>
            <w:tcMar>
              <w:top w:type="dxa" w:w="95"/>
              <w:left w:type="dxa" w:w="135"/>
              <w:bottom w:type="dxa" w:w="95"/>
              <w:right w:type="dxa" w:w="135"/>
            </w:tcMar>
          </w:tcPr>
          <w:p>
            <w:r>
              <w:rPr>
                <w:b/>
                <w:bCs/>
                <w:sz w:val="20"/>
                <w:szCs w:val="20"/>
              </w:rPr>
              <w:t xml:space="preserve">The database</w:t>
            </w:r>
          </w:p>
        </w:tc>
        <w:tc>
          <w:tcPr>
            <w:tcW w:type="dxa" w:w="6760"/>
            <w:tcMar>
              <w:top w:type="dxa" w:w="95"/>
              <w:left w:type="dxa" w:w="135"/>
              <w:bottom w:type="dxa" w:w="95"/>
              <w:right w:type="dxa" w:w="135"/>
            </w:tcMar>
          </w:tcPr>
          <w:p>
            <w:r>
              <w:rPr>
                <w:sz w:val="20"/>
                <w:szCs w:val="20"/>
              </w:rPr>
              <w:t xml:space="preserve">PostgreSQL is a separate service. A container is disposable; your data is not. This is what makes the image safe to replace, scale and roll back.</w:t>
            </w:r>
          </w:p>
        </w:tc>
      </w:tr>
      <w:tr>
        <w:tc>
          <w:tcPr>
            <w:tcW w:type="dxa" w:w="2600"/>
            <w:tcMar>
              <w:top w:type="dxa" w:w="95"/>
              <w:left w:type="dxa" w:w="135"/>
              <w:bottom w:type="dxa" w:w="95"/>
              <w:right w:type="dxa" w:w="135"/>
            </w:tcMar>
          </w:tcPr>
          <w:p>
            <w:r>
              <w:rPr>
                <w:b/>
                <w:bCs/>
                <w:sz w:val="20"/>
                <w:szCs w:val="20"/>
              </w:rPr>
              <w:t xml:space="preserve">Chart page images</w:t>
            </w:r>
          </w:p>
        </w:tc>
        <w:tc>
          <w:tcPr>
            <w:tcW w:type="dxa" w:w="6760"/>
            <w:tcMar>
              <w:top w:type="dxa" w:w="95"/>
              <w:left w:type="dxa" w:w="135"/>
              <w:bottom w:type="dxa" w:w="95"/>
              <w:right w:type="dxa" w:w="135"/>
            </w:tcMar>
          </w:tcPr>
          <w:p>
            <w:r>
              <w:rPr>
                <w:sz w:val="20"/>
                <w:szCs w:val="20"/>
              </w:rPr>
              <w:t xml:space="preserve">Held in S3-compatible object storage, also external.</w:t>
            </w:r>
          </w:p>
        </w:tc>
      </w:tr>
      <w:tr>
        <w:tc>
          <w:tcPr>
            <w:tcW w:type="dxa" w:w="2600"/>
            <w:tcMar>
              <w:top w:type="dxa" w:w="95"/>
              <w:left w:type="dxa" w:w="135"/>
              <w:bottom w:type="dxa" w:w="95"/>
              <w:right w:type="dxa" w:w="135"/>
            </w:tcMar>
          </w:tcPr>
          <w:p>
            <w:r>
              <w:rPr>
                <w:b/>
                <w:bCs/>
                <w:sz w:val="20"/>
                <w:szCs w:val="20"/>
              </w:rPr>
              <w:t xml:space="preserve">Node.js</w:t>
            </w:r>
          </w:p>
        </w:tc>
        <w:tc>
          <w:tcPr>
            <w:tcW w:type="dxa" w:w="6760"/>
            <w:tcMar>
              <w:top w:type="dxa" w:w="95"/>
              <w:left w:type="dxa" w:w="135"/>
              <w:bottom w:type="dxa" w:w="95"/>
              <w:right w:type="dxa" w:w="135"/>
            </w:tcMar>
          </w:tcPr>
          <w:p>
            <w:r>
              <w:rPr>
                <w:sz w:val="20"/>
                <w:szCs w:val="20"/>
              </w:rPr>
              <w:t xml:space="preserve">The front end is compiled in a build stage that is then discarded. Roughly 172 MB of build tooling never reaches the server that runs this.</w:t>
            </w:r>
          </w:p>
        </w:tc>
      </w:tr>
    </w:tbl>
    <w:p>
      <w:pPr>
        <w:pStyle w:val="Heading2"/>
        <w:spacing w:after="130" w:before="300"/>
      </w:pPr>
      <w:r>
        <w:rPr>
          <w:b/>
          <w:bCs/>
          <w:color w:val="1F3864"/>
          <w:sz w:val="24"/>
          <w:szCs w:val="24"/>
        </w:rPr>
        <w:t xml:space="preserve">1.3 Properties a platform team will ask about</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6760"/>
      </w:tblGrid>
      <w:tr>
        <w:trPr>
          <w:tblHeader/>
        </w:trPr>
        <w:tc>
          <w:tcPr>
            <w:tcW w:type="dxa" w:w="2600"/>
            <w:shd w:fill="DCE6F1" w:val="clear"/>
            <w:tcMar>
              <w:top w:type="dxa" w:w="95"/>
              <w:left w:type="dxa" w:w="135"/>
              <w:bottom w:type="dxa" w:w="95"/>
              <w:right w:type="dxa" w:w="135"/>
            </w:tcMar>
          </w:tcPr>
          <w:p>
            <w:r>
              <w:rPr>
                <w:b/>
                <w:bCs/>
                <w:color w:val="1F3864"/>
                <w:sz w:val="20"/>
                <w:szCs w:val="20"/>
              </w:rPr>
              <w:t xml:space="preserve">Property</w:t>
            </w:r>
          </w:p>
        </w:tc>
        <w:tc>
          <w:tcPr>
            <w:tcW w:type="dxa" w:w="6760"/>
            <w:shd w:fill="DCE6F1" w:val="clear"/>
            <w:tcMar>
              <w:top w:type="dxa" w:w="95"/>
              <w:left w:type="dxa" w:w="135"/>
              <w:bottom w:type="dxa" w:w="95"/>
              <w:right w:type="dxa" w:w="135"/>
            </w:tcMar>
          </w:tcPr>
          <w:p>
            <w:r>
              <w:rPr>
                <w:b/>
                <w:bCs/>
                <w:color w:val="1F3864"/>
                <w:sz w:val="20"/>
                <w:szCs w:val="20"/>
              </w:rPr>
              <w:t xml:space="preserve">Value</w:t>
            </w:r>
          </w:p>
        </w:tc>
      </w:tr>
      <w:tr>
        <w:tc>
          <w:tcPr>
            <w:tcW w:type="dxa" w:w="2600"/>
            <w:tcMar>
              <w:top w:type="dxa" w:w="95"/>
              <w:left w:type="dxa" w:w="135"/>
              <w:bottom w:type="dxa" w:w="95"/>
              <w:right w:type="dxa" w:w="135"/>
            </w:tcMar>
          </w:tcPr>
          <w:p>
            <w:r>
              <w:rPr>
                <w:sz w:val="20"/>
                <w:szCs w:val="20"/>
              </w:rPr>
              <w:t xml:space="preserve">Approximate size</w:t>
            </w:r>
          </w:p>
        </w:tc>
        <w:tc>
          <w:tcPr>
            <w:tcW w:type="dxa" w:w="6760"/>
            <w:tcMar>
              <w:top w:type="dxa" w:w="95"/>
              <w:left w:type="dxa" w:w="135"/>
              <w:bottom w:type="dxa" w:w="95"/>
              <w:right w:type="dxa" w:w="135"/>
            </w:tcMar>
          </w:tcPr>
          <w:p>
            <w:r>
              <w:rPr>
                <w:sz w:val="20"/>
                <w:szCs w:val="20"/>
              </w:rPr>
              <w:t xml:space="preserve">523 MB</w:t>
            </w:r>
          </w:p>
        </w:tc>
      </w:tr>
      <w:tr>
        <w:tc>
          <w:tcPr>
            <w:tcW w:type="dxa" w:w="2600"/>
            <w:tcMar>
              <w:top w:type="dxa" w:w="95"/>
              <w:left w:type="dxa" w:w="135"/>
              <w:bottom w:type="dxa" w:w="95"/>
              <w:right w:type="dxa" w:w="135"/>
            </w:tcMar>
          </w:tcPr>
          <w:p>
            <w:r>
              <w:rPr>
                <w:sz w:val="20"/>
                <w:szCs w:val="20"/>
              </w:rPr>
              <w:t xml:space="preserve">Listens on</w:t>
            </w:r>
          </w:p>
        </w:tc>
        <w:tc>
          <w:tcPr>
            <w:tcW w:type="dxa" w:w="6760"/>
            <w:tcMar>
              <w:top w:type="dxa" w:w="95"/>
              <w:left w:type="dxa" w:w="135"/>
              <w:bottom w:type="dxa" w:w="95"/>
              <w:right w:type="dxa" w:w="135"/>
            </w:tcMar>
          </w:tcPr>
          <w:p>
            <w:r>
              <w:rPr>
                <w:sz w:val="20"/>
                <w:szCs w:val="20"/>
              </w:rPr>
              <w:t xml:space="preserve">Port 8000</w:t>
            </w:r>
          </w:p>
        </w:tc>
      </w:tr>
      <w:tr>
        <w:tc>
          <w:tcPr>
            <w:tcW w:type="dxa" w:w="2600"/>
            <w:tcMar>
              <w:top w:type="dxa" w:w="95"/>
              <w:left w:type="dxa" w:w="135"/>
              <w:bottom w:type="dxa" w:w="95"/>
              <w:right w:type="dxa" w:w="135"/>
            </w:tcMar>
          </w:tcPr>
          <w:p>
            <w:r>
              <w:rPr>
                <w:sz w:val="20"/>
                <w:szCs w:val="20"/>
              </w:rPr>
              <w:t xml:space="preserve">Runs as</w:t>
            </w:r>
          </w:p>
        </w:tc>
        <w:tc>
          <w:tcPr>
            <w:tcW w:type="dxa" w:w="6760"/>
            <w:tcMar>
              <w:top w:type="dxa" w:w="95"/>
              <w:left w:type="dxa" w:w="135"/>
              <w:bottom w:type="dxa" w:w="95"/>
              <w:right w:type="dxa" w:w="135"/>
            </w:tcMar>
          </w:tcPr>
          <w:p>
            <w:r>
              <w:rPr>
                <w:rFonts w:ascii="Consolas" w:cs="Consolas" w:eastAsia="Consolas" w:hAnsi="Consolas"/>
                <w:sz w:val="18"/>
                <w:szCs w:val="18"/>
              </w:rPr>
              <w:t xml:space="preserve">uid 10001</w:t>
            </w:r>
            <w:r>
              <w:rPr>
                <w:sz w:val="20"/>
                <w:szCs w:val="20"/>
              </w:rPr>
              <w:t xml:space="preserve"> (</w:t>
            </w:r>
            <w:r>
              <w:rPr>
                <w:rFonts w:ascii="Consolas" w:cs="Consolas" w:eastAsia="Consolas" w:hAnsi="Consolas"/>
                <w:sz w:val="18"/>
                <w:szCs w:val="18"/>
              </w:rPr>
              <w:t xml:space="preserve">practicelab</w:t>
            </w:r>
            <w:r>
              <w:rPr>
                <w:sz w:val="20"/>
                <w:szCs w:val="20"/>
              </w:rPr>
              <w:t xml:space="preserve">) — not root</w:t>
            </w:r>
          </w:p>
        </w:tc>
      </w:tr>
      <w:tr>
        <w:tc>
          <w:tcPr>
            <w:tcW w:type="dxa" w:w="2600"/>
            <w:tcMar>
              <w:top w:type="dxa" w:w="95"/>
              <w:left w:type="dxa" w:w="135"/>
              <w:bottom w:type="dxa" w:w="95"/>
              <w:right w:type="dxa" w:w="135"/>
            </w:tcMar>
          </w:tcPr>
          <w:p>
            <w:r>
              <w:rPr>
                <w:sz w:val="20"/>
                <w:szCs w:val="20"/>
              </w:rPr>
              <w:t xml:space="preserve">Persistent state</w:t>
            </w:r>
          </w:p>
        </w:tc>
        <w:tc>
          <w:tcPr>
            <w:tcW w:type="dxa" w:w="6760"/>
            <w:tcMar>
              <w:top w:type="dxa" w:w="95"/>
              <w:left w:type="dxa" w:w="135"/>
              <w:bottom w:type="dxa" w:w="95"/>
              <w:right w:type="dxa" w:w="135"/>
            </w:tcMar>
          </w:tcPr>
          <w:p>
            <w:r>
              <w:rPr>
                <w:sz w:val="20"/>
                <w:szCs w:val="20"/>
              </w:rPr>
              <w:t xml:space="preserve">None. The container is stateless and scales horizontally</w:t>
            </w:r>
          </w:p>
        </w:tc>
      </w:tr>
      <w:tr>
        <w:tc>
          <w:tcPr>
            <w:tcW w:type="dxa" w:w="2600"/>
            <w:tcMar>
              <w:top w:type="dxa" w:w="95"/>
              <w:left w:type="dxa" w:w="135"/>
              <w:bottom w:type="dxa" w:w="95"/>
              <w:right w:type="dxa" w:w="135"/>
            </w:tcMar>
          </w:tcPr>
          <w:p>
            <w:r>
              <w:rPr>
                <w:sz w:val="20"/>
                <w:szCs w:val="20"/>
              </w:rPr>
              <w:t xml:space="preserve">Health endpoint</w:t>
            </w:r>
          </w:p>
        </w:tc>
        <w:tc>
          <w:tcPr>
            <w:tcW w:type="dxa" w:w="6760"/>
            <w:tcMar>
              <w:top w:type="dxa" w:w="95"/>
              <w:left w:type="dxa" w:w="135"/>
              <w:bottom w:type="dxa" w:w="95"/>
              <w:right w:type="dxa" w:w="135"/>
            </w:tcMar>
          </w:tcPr>
          <w:p>
            <w:r>
              <w:rPr>
                <w:rFonts w:ascii="Consolas" w:cs="Consolas" w:eastAsia="Consolas" w:hAnsi="Consolas"/>
                <w:sz w:val="18"/>
                <w:szCs w:val="18"/>
              </w:rPr>
              <w:t xml:space="preserve">GET /health</w:t>
            </w:r>
            <w:r>
              <w:rPr>
                <w:sz w:val="20"/>
                <w:szCs w:val="20"/>
              </w:rPr>
              <w:t xml:space="preserve"> — also wired as the image HEALTHCHECK</w:t>
            </w:r>
          </w:p>
        </w:tc>
      </w:tr>
      <w:tr>
        <w:tc>
          <w:tcPr>
            <w:tcW w:type="dxa" w:w="2600"/>
            <w:tcMar>
              <w:top w:type="dxa" w:w="95"/>
              <w:left w:type="dxa" w:w="135"/>
              <w:bottom w:type="dxa" w:w="95"/>
              <w:right w:type="dxa" w:w="135"/>
            </w:tcMar>
          </w:tcPr>
          <w:p>
            <w:r>
              <w:rPr>
                <w:sz w:val="20"/>
                <w:szCs w:val="20"/>
              </w:rPr>
              <w:t xml:space="preserve">Writable paths needed</w:t>
            </w:r>
          </w:p>
        </w:tc>
        <w:tc>
          <w:tcPr>
            <w:tcW w:type="dxa" w:w="6760"/>
            <w:tcMar>
              <w:top w:type="dxa" w:w="95"/>
              <w:left w:type="dxa" w:w="135"/>
              <w:bottom w:type="dxa" w:w="95"/>
              <w:right w:type="dxa" w:w="135"/>
            </w:tcMar>
          </w:tcPr>
          <w:p>
            <w:r>
              <w:rPr>
                <w:rFonts w:ascii="Consolas" w:cs="Consolas" w:eastAsia="Consolas" w:hAnsi="Consolas"/>
                <w:sz w:val="18"/>
                <w:szCs w:val="18"/>
              </w:rPr>
              <w:t xml:space="preserve">/tmp</w:t>
            </w:r>
            <w:r>
              <w:rPr>
                <w:sz w:val="20"/>
                <w:szCs w:val="20"/>
              </w:rPr>
              <w:t xml:space="preserve"> only. The filesystem may otherwise be mounted read-only</w:t>
            </w:r>
          </w:p>
        </w:tc>
      </w:tr>
    </w:tbl>
    <w:p>
      <w:r>
        <w:br w:type="page"/>
      </w:r>
    </w:p>
    <w:p>
      <w:pPr>
        <w:pStyle w:val="Heading1"/>
        <w:spacing w:after="170" w:before="400"/>
      </w:pPr>
      <w:r>
        <w:rPr>
          <w:b/>
          <w:bCs/>
          <w:color w:val="1F3864"/>
          <w:sz w:val="30"/>
          <w:szCs w:val="30"/>
        </w:rPr>
        <w:t xml:space="preserve">2. Before you start</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900"/>
        <w:gridCol w:w="6460"/>
      </w:tblGrid>
      <w:tr>
        <w:trPr>
          <w:tblHeader/>
        </w:trPr>
        <w:tc>
          <w:tcPr>
            <w:tcW w:type="dxa" w:w="2900"/>
            <w:shd w:fill="DCE6F1" w:val="clear"/>
            <w:tcMar>
              <w:top w:type="dxa" w:w="95"/>
              <w:left w:type="dxa" w:w="135"/>
              <w:bottom w:type="dxa" w:w="95"/>
              <w:right w:type="dxa" w:w="135"/>
            </w:tcMar>
          </w:tcPr>
          <w:p>
            <w:r>
              <w:rPr>
                <w:b/>
                <w:bCs/>
                <w:color w:val="1F3864"/>
                <w:sz w:val="20"/>
                <w:szCs w:val="20"/>
              </w:rPr>
              <w:t xml:space="preserve">Requirement</w:t>
            </w:r>
          </w:p>
        </w:tc>
        <w:tc>
          <w:tcPr>
            <w:tcW w:type="dxa" w:w="6460"/>
            <w:shd w:fill="DCE6F1" w:val="clear"/>
            <w:tcMar>
              <w:top w:type="dxa" w:w="95"/>
              <w:left w:type="dxa" w:w="135"/>
              <w:bottom w:type="dxa" w:w="95"/>
              <w:right w:type="dxa" w:w="135"/>
            </w:tcMar>
          </w:tcPr>
          <w:p>
            <w:r>
              <w:rPr>
                <w:b/>
                <w:bCs/>
                <w:color w:val="1F3864"/>
                <w:sz w:val="20"/>
                <w:szCs w:val="20"/>
              </w:rPr>
              <w:t xml:space="preserve">Notes</w:t>
            </w:r>
          </w:p>
        </w:tc>
      </w:tr>
      <w:tr>
        <w:tc>
          <w:tcPr>
            <w:tcW w:type="dxa" w:w="2900"/>
            <w:tcMar>
              <w:top w:type="dxa" w:w="95"/>
              <w:left w:type="dxa" w:w="135"/>
              <w:bottom w:type="dxa" w:w="95"/>
              <w:right w:type="dxa" w:w="135"/>
            </w:tcMar>
          </w:tcPr>
          <w:p>
            <w:r>
              <w:rPr>
                <w:sz w:val="20"/>
                <w:szCs w:val="20"/>
              </w:rPr>
              <w:t xml:space="preserve">A container runtime</w:t>
            </w:r>
          </w:p>
        </w:tc>
        <w:tc>
          <w:tcPr>
            <w:tcW w:type="dxa" w:w="6460"/>
            <w:tcMar>
              <w:top w:type="dxa" w:w="95"/>
              <w:left w:type="dxa" w:w="135"/>
              <w:bottom w:type="dxa" w:w="95"/>
              <w:right w:type="dxa" w:w="135"/>
            </w:tcMar>
          </w:tcPr>
          <w:p>
            <w:r>
              <w:rPr>
                <w:sz w:val="20"/>
                <w:szCs w:val="20"/>
              </w:rPr>
              <w:t xml:space="preserve">Docker, Podman, Kubernetes, OpenShift — any OCI-compatible platform. The commands in this guide use Docker; translate as needed.</w:t>
            </w:r>
          </w:p>
        </w:tc>
      </w:tr>
      <w:tr>
        <w:tc>
          <w:tcPr>
            <w:tcW w:type="dxa" w:w="2900"/>
            <w:tcMar>
              <w:top w:type="dxa" w:w="95"/>
              <w:left w:type="dxa" w:w="135"/>
              <w:bottom w:type="dxa" w:w="95"/>
              <w:right w:type="dxa" w:w="135"/>
            </w:tcMar>
          </w:tcPr>
          <w:p>
            <w:r>
              <w:rPr>
                <w:b/>
                <w:bCs/>
                <w:sz w:val="20"/>
                <w:szCs w:val="20"/>
              </w:rPr>
              <w:t xml:space="preserve">PostgreSQL 15 or later</w:t>
            </w:r>
          </w:p>
        </w:tc>
        <w:tc>
          <w:tcPr>
            <w:tcW w:type="dxa" w:w="6460"/>
            <w:tcMar>
              <w:top w:type="dxa" w:w="95"/>
              <w:left w:type="dxa" w:w="135"/>
              <w:bottom w:type="dxa" w:w="95"/>
              <w:right w:type="dxa" w:w="135"/>
            </w:tcMar>
          </w:tcPr>
          <w:p>
            <w:r>
              <w:rPr>
                <w:sz w:val="20"/>
                <w:szCs w:val="20"/>
              </w:rPr>
              <w:t xml:space="preserve">Restore the supplied database dump into it before starting the container. See the Migration Specification.</w:t>
            </w:r>
          </w:p>
        </w:tc>
      </w:tr>
      <w:tr>
        <w:tc>
          <w:tcPr>
            <w:tcW w:type="dxa" w:w="2900"/>
            <w:tcMar>
              <w:top w:type="dxa" w:w="95"/>
              <w:left w:type="dxa" w:w="135"/>
              <w:bottom w:type="dxa" w:w="95"/>
              <w:right w:type="dxa" w:w="135"/>
            </w:tcMar>
          </w:tcPr>
          <w:p>
            <w:r>
              <w:rPr>
                <w:b/>
                <w:bCs/>
                <w:sz w:val="20"/>
                <w:szCs w:val="20"/>
              </w:rPr>
              <w:t xml:space="preserve">S3-compatible object storage</w:t>
            </w:r>
          </w:p>
        </w:tc>
        <w:tc>
          <w:tcPr>
            <w:tcW w:type="dxa" w:w="6460"/>
            <w:tcMar>
              <w:top w:type="dxa" w:w="95"/>
              <w:left w:type="dxa" w:w="135"/>
              <w:bottom w:type="dxa" w:w="95"/>
              <w:right w:type="dxa" w:w="135"/>
            </w:tcMar>
          </w:tcPr>
          <w:p>
            <w:r>
              <w:rPr>
                <w:sz w:val="20"/>
                <w:szCs w:val="20"/>
              </w:rPr>
              <w:t xml:space="preserve">Holds every chart page image. Cloudflare R2, AWS S3, MinIO, Ceph, ECS and StorageGRID all work.</w:t>
            </w:r>
          </w:p>
        </w:tc>
      </w:tr>
    </w:tbl>
    <w:p>
      <w:pPr>
        <w:spacing w:after="0" w:before="0" w:line="20"/>
      </w:pPr>
    </w:p>
    <w:tbl>
      <w:tblPr>
        <w:tblW w:type="dxa" w:w="9360"/>
        <w:tblBorders>
          <w:top w:val="single" w:color="E8A33D" w:sz="4"/>
          <w:left w:val="single" w:color="E8A33D" w:sz="18"/>
          <w:bottom w:val="single" w:color="E8A33D" w:sz="4"/>
          <w:right w:val="single" w:color="E8A33D" w:sz="4"/>
          <w:insideH w:val="single" w:color="auto" w:sz="4"/>
          <w:insideV w:val="single" w:color="auto" w:sz="4"/>
        </w:tblBorders>
      </w:tblPr>
      <w:tblGrid>
        <w:gridCol w:w="9360"/>
      </w:tblGrid>
      <w:tr>
        <w:tc>
          <w:tcPr>
            <w:tcW w:type="dxa" w:w="9360"/>
            <w:shd w:fill="FFF4E5" w:val="clear"/>
            <w:tcMar>
              <w:top w:type="dxa" w:w="150"/>
              <w:left w:type="dxa" w:w="190"/>
              <w:bottom w:type="dxa" w:w="150"/>
              <w:right w:type="dxa" w:w="190"/>
            </w:tcMar>
          </w:tcPr>
          <w:p>
            <w:pPr>
              <w:spacing w:after="85"/>
            </w:pPr>
            <w:r>
              <w:rPr>
                <w:b/>
                <w:bCs/>
                <w:color w:val="8A5A00"/>
                <w:sz w:val="21"/>
                <w:szCs w:val="21"/>
              </w:rPr>
              <w:t xml:space="preserve">Storage failures are invisible in the interface</w:t>
            </w:r>
          </w:p>
          <w:p>
            <w:pPr>
              <w:spacing w:after="65" w:line="285"/>
            </w:pPr>
            <w:r>
              <w:rPr>
                <w:sz w:val="21"/>
                <w:szCs w:val="21"/>
              </w:rPr>
              <w:t xml:space="preserve">The application starts perfectly well with wrong or missing storage credentials. Charts list, batches open, results display, analytics compute — and every chart image is broken.</w:t>
            </w:r>
          </w:p>
          <w:p>
            <w:pPr>
              <w:spacing w:after="65" w:line="285"/>
            </w:pPr>
            <w:r>
              <w:rPr>
                <w:b/>
                <w:bCs/>
                <w:sz w:val="21"/>
                <w:szCs w:val="21"/>
              </w:rPr>
              <w:t xml:space="preserve">Verification must include opening a chart and confirming the page renders. Seeing a chart in a list proves only the database.</w:t>
            </w:r>
          </w:p>
        </w:tc>
      </w:tr>
    </w:tbl>
    <w:p>
      <w:r>
        <w:br w:type="page"/>
      </w:r>
    </w:p>
    <w:p>
      <w:pPr>
        <w:pStyle w:val="Heading1"/>
        <w:spacing w:after="170" w:before="400"/>
      </w:pPr>
      <w:r>
        <w:rPr>
          <w:b/>
          <w:bCs/>
          <w:color w:val="1F3864"/>
          <w:sz w:val="30"/>
          <w:szCs w:val="30"/>
        </w:rPr>
        <w:t xml:space="preserve">3. Building the image</w:t>
      </w:r>
    </w:p>
    <w:p>
      <w:pPr>
        <w:spacing w:after="130" w:line="285"/>
      </w:pPr>
      <w:r>
        <w:rPr>
          <w:sz w:val="21"/>
          <w:szCs w:val="21"/>
        </w:rPr>
        <w:t xml:space="preserve">Run from the repository root, where the Dockerfile sits:</w:t>
      </w:r>
    </w:p>
    <w:p>
      <w:pPr>
        <w:pBdr>
          <w:left w:val="single" w:color="2E75B6" w:sz="12" w:space="6"/>
        </w:pBdr>
        <w:shd w:fill="F2F2F2" w:val="clear"/>
        <w:spacing w:after="150" w:before="110" w:line="265"/>
        <w:ind w:left="130"/>
      </w:pPr>
      <w:r>
        <w:rPr>
          <w:rFonts w:ascii="Consolas" w:cs="Consolas" w:eastAsia="Consolas" w:hAnsi="Consolas"/>
          <w:sz w:val="18"/>
          <w:szCs w:val="18"/>
        </w:rPr>
        <w:t xml:space="preserve">docker build \</w:t>
      </w:r>
      <w:r>
        <w:br/>
      </w:r>
      <w:r>
        <w:rPr>
          <w:rFonts w:ascii="Consolas" w:cs="Consolas" w:eastAsia="Consolas" w:hAnsi="Consolas"/>
          <w:sz w:val="18"/>
          <w:szCs w:val="18"/>
        </w:rPr>
        <w:t xml:space="preserve">  --platform linux/amd64 \</w:t>
      </w:r>
      <w:r>
        <w:br/>
      </w:r>
      <w:r>
        <w:rPr>
          <w:rFonts w:ascii="Consolas" w:cs="Consolas" w:eastAsia="Consolas" w:hAnsi="Consolas"/>
          <w:sz w:val="18"/>
          <w:szCs w:val="18"/>
        </w:rPr>
        <w:t xml:space="preserve">  --build-arg BUILD_REF=$(git rev-parse --short HEAD) \</w:t>
      </w:r>
      <w:r>
        <w:br/>
      </w:r>
      <w:r>
        <w:rPr>
          <w:rFonts w:ascii="Consolas" w:cs="Consolas" w:eastAsia="Consolas" w:hAnsi="Consolas"/>
          <w:sz w:val="18"/>
          <w:szCs w:val="18"/>
        </w:rPr>
        <w:t xml:space="preserve">  -t practicelab:1.0 .</w:t>
      </w:r>
    </w:p>
    <w:p>
      <w:pPr>
        <w:pStyle w:val="Heading2"/>
        <w:spacing w:after="130" w:before="300"/>
      </w:pPr>
      <w:r>
        <w:rPr>
          <w:b/>
          <w:bCs/>
          <w:color w:val="1F3864"/>
          <w:sz w:val="24"/>
          <w:szCs w:val="24"/>
        </w:rPr>
        <w:t xml:space="preserve">3.1 The two arguments that matter</w:t>
      </w:r>
    </w:p>
    <w:p>
      <w:pPr>
        <w:spacing w:after="130" w:line="285"/>
      </w:pPr>
      <w:r>
        <w:rPr>
          <w:rFonts w:ascii="Consolas" w:cs="Consolas" w:eastAsia="Consolas" w:hAnsi="Consolas"/>
          <w:color w:val="7B1FA2"/>
          <w:sz w:val="19"/>
          <w:szCs w:val="19"/>
        </w:rPr>
        <w:t xml:space="preserve">--platform linux/amd64</w:t>
      </w:r>
      <w:r>
        <w:rPr>
          <w:sz w:val="21"/>
          <w:szCs w:val="21"/>
        </w:rPr>
        <w:t xml:space="preserve"> — required only when the image is built on an Apple Silicon Mac and run on ordinary x86 servers. Omit it when building on the same architecture you will run on. An image built for the wrong architecture fails at start, not at build.</w:t>
      </w:r>
    </w:p>
    <w:p>
      <w:pPr>
        <w:spacing w:after="130" w:line="285"/>
      </w:pPr>
      <w:r>
        <w:rPr>
          <w:rFonts w:ascii="Consolas" w:cs="Consolas" w:eastAsia="Consolas" w:hAnsi="Consolas"/>
          <w:color w:val="7B1FA2"/>
          <w:sz w:val="19"/>
          <w:szCs w:val="19"/>
        </w:rPr>
        <w:t xml:space="preserve">BUILD_REF</w:t>
      </w:r>
      <w:r>
        <w:rPr>
          <w:sz w:val="21"/>
          <w:szCs w:val="21"/>
        </w:rPr>
        <w:t xml:space="preserve"> — stamped into the image and reported by </w:t>
      </w:r>
      <w:r>
        <w:rPr>
          <w:rFonts w:ascii="Consolas" w:cs="Consolas" w:eastAsia="Consolas" w:hAnsi="Consolas"/>
          <w:color w:val="7B1FA2"/>
          <w:sz w:val="19"/>
          <w:szCs w:val="19"/>
        </w:rPr>
        <w:t xml:space="preserve">/health</w:t>
      </w:r>
      <w:r>
        <w:rPr>
          <w:sz w:val="21"/>
          <w:szCs w:val="21"/>
        </w:rPr>
        <w:t xml:space="preserve">. This is what makes “which version is running?” a question with an answer rather than something inferred from behaviour. Any meaningful string will do: a commit hash, a release number.</w:t>
      </w:r>
    </w:p>
    <w:p>
      <w:pPr>
        <w:pStyle w:val="Heading2"/>
        <w:spacing w:after="130" w:before="300"/>
      </w:pPr>
      <w:r>
        <w:rPr>
          <w:b/>
          <w:bCs/>
          <w:color w:val="1F3864"/>
          <w:sz w:val="24"/>
          <w:szCs w:val="24"/>
        </w:rPr>
        <w:t xml:space="preserve">3.2 If your policy requires an approved base image</w:t>
      </w:r>
    </w:p>
    <w:p>
      <w:pPr>
        <w:spacing w:after="130" w:line="285"/>
      </w:pPr>
      <w:r>
        <w:rPr>
          <w:sz w:val="21"/>
          <w:szCs w:val="21"/>
        </w:rPr>
        <w:t xml:space="preserve">Change the two </w:t>
      </w:r>
      <w:r>
        <w:rPr>
          <w:rFonts w:ascii="Consolas" w:cs="Consolas" w:eastAsia="Consolas" w:hAnsi="Consolas"/>
          <w:color w:val="7B1FA2"/>
          <w:sz w:val="19"/>
          <w:szCs w:val="19"/>
        </w:rPr>
        <w:t xml:space="preserve">FROM</w:t>
      </w:r>
      <w:r>
        <w:rPr>
          <w:sz w:val="21"/>
          <w:szCs w:val="21"/>
        </w:rPr>
        <w:t xml:space="preserve"> lines. Nothing else in the file depends on them. The build stage needs Node 20; the runtime stage needs Python 3.11.</w:t>
      </w:r>
    </w:p>
    <w:tbl>
      <w:tblPr>
        <w:tblW w:type="dxa" w:w="9360"/>
        <w:tblBorders>
          <w:top w:val="single" w:color="E8A33D" w:sz="4"/>
          <w:left w:val="single" w:color="E8A33D" w:sz="18"/>
          <w:bottom w:val="single" w:color="E8A33D" w:sz="4"/>
          <w:right w:val="single" w:color="E8A33D" w:sz="4"/>
          <w:insideH w:val="single" w:color="auto" w:sz="4"/>
          <w:insideV w:val="single" w:color="auto" w:sz="4"/>
        </w:tblBorders>
      </w:tblPr>
      <w:tblGrid>
        <w:gridCol w:w="9360"/>
      </w:tblGrid>
      <w:tr>
        <w:tc>
          <w:tcPr>
            <w:tcW w:type="dxa" w:w="9360"/>
            <w:shd w:fill="FFF4E5" w:val="clear"/>
            <w:tcMar>
              <w:top w:type="dxa" w:w="150"/>
              <w:left w:type="dxa" w:w="190"/>
              <w:bottom w:type="dxa" w:w="150"/>
              <w:right w:type="dxa" w:w="190"/>
            </w:tcMar>
          </w:tcPr>
          <w:p>
            <w:pPr>
              <w:spacing w:after="85"/>
            </w:pPr>
            <w:r>
              <w:rPr>
                <w:b/>
                <w:bCs/>
                <w:color w:val="8A5A00"/>
                <w:sz w:val="21"/>
                <w:szCs w:val="21"/>
              </w:rPr>
              <w:t xml:space="preserve">The Python version is not negotiable</w:t>
            </w:r>
          </w:p>
          <w:p>
            <w:pPr>
              <w:spacing w:after="65" w:line="285"/>
            </w:pPr>
            <w:r>
              <w:rPr>
                <w:sz w:val="21"/>
                <w:szCs w:val="21"/>
              </w:rPr>
              <w:t xml:space="preserve">This code is tested on Python 3.9 and 3.11 only. It has already been broken once by a host silently building it on 3.14 — a fault that stayed invisible until a stack trace happened to show the interpreter path.</w:t>
            </w:r>
          </w:p>
          <w:p>
            <w:pPr>
              <w:spacing w:after="65" w:line="285"/>
            </w:pPr>
            <w:r>
              <w:rPr>
                <w:b/>
                <w:bCs/>
                <w:sz w:val="21"/>
                <w:szCs w:val="21"/>
              </w:rPr>
              <w:t xml:space="preserve">Putting the interpreter inside the image is the point of this exercise: it is the only pin that cannot be overridden by a host setting.</w:t>
            </w:r>
          </w:p>
        </w:tc>
      </w:tr>
    </w:tbl>
    <w:p>
      <w:r>
        <w:br w:type="page"/>
      </w:r>
    </w:p>
    <w:p>
      <w:pPr>
        <w:pStyle w:val="Heading1"/>
        <w:spacing w:after="170" w:before="400"/>
      </w:pPr>
      <w:r>
        <w:rPr>
          <w:b/>
          <w:bCs/>
          <w:color w:val="1F3864"/>
          <w:sz w:val="30"/>
          <w:szCs w:val="30"/>
        </w:rPr>
        <w:t xml:space="preserve">4. Configuration</w:t>
      </w:r>
    </w:p>
    <w:p>
      <w:pPr>
        <w:spacing w:after="130" w:line="285"/>
      </w:pPr>
      <w:r>
        <w:rPr>
          <w:sz w:val="21"/>
          <w:szCs w:val="21"/>
        </w:rPr>
        <w:t xml:space="preserve">Nine environment variables. Six have no default and the application will refuse to start without them. That is deliberate: a silent start on half a configuration is worse than a clear failure.</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700"/>
        <w:gridCol w:w="1100"/>
        <w:gridCol w:w="5560"/>
      </w:tblGrid>
      <w:tr>
        <w:trPr>
          <w:tblHeader/>
        </w:trPr>
        <w:tc>
          <w:tcPr>
            <w:tcW w:type="dxa" w:w="2700"/>
            <w:shd w:fill="DCE6F1" w:val="clear"/>
            <w:tcMar>
              <w:top w:type="dxa" w:w="95"/>
              <w:left w:type="dxa" w:w="135"/>
              <w:bottom w:type="dxa" w:w="95"/>
              <w:right w:type="dxa" w:w="135"/>
            </w:tcMar>
          </w:tcPr>
          <w:p>
            <w:r>
              <w:rPr>
                <w:b/>
                <w:bCs/>
                <w:color w:val="1F3864"/>
                <w:sz w:val="20"/>
                <w:szCs w:val="20"/>
              </w:rPr>
              <w:t xml:space="preserve">Variable</w:t>
            </w:r>
          </w:p>
        </w:tc>
        <w:tc>
          <w:tcPr>
            <w:tcW w:type="dxa" w:w="1100"/>
            <w:shd w:fill="DCE6F1" w:val="clear"/>
            <w:tcMar>
              <w:top w:type="dxa" w:w="95"/>
              <w:left w:type="dxa" w:w="135"/>
              <w:bottom w:type="dxa" w:w="95"/>
              <w:right w:type="dxa" w:w="135"/>
            </w:tcMar>
          </w:tcPr>
          <w:p>
            <w:r>
              <w:rPr>
                <w:b/>
                <w:bCs/>
                <w:color w:val="1F3864"/>
                <w:sz w:val="20"/>
                <w:szCs w:val="20"/>
              </w:rPr>
              <w:t xml:space="preserve">Required</w:t>
            </w:r>
          </w:p>
        </w:tc>
        <w:tc>
          <w:tcPr>
            <w:tcW w:type="dxa" w:w="5560"/>
            <w:shd w:fill="DCE6F1" w:val="clear"/>
            <w:tcMar>
              <w:top w:type="dxa" w:w="95"/>
              <w:left w:type="dxa" w:w="135"/>
              <w:bottom w:type="dxa" w:w="95"/>
              <w:right w:type="dxa" w:w="135"/>
            </w:tcMar>
          </w:tcPr>
          <w:p>
            <w:r>
              <w:rPr>
                <w:b/>
                <w:bCs/>
                <w:color w:val="1F3864"/>
                <w:sz w:val="20"/>
                <w:szCs w:val="20"/>
              </w:rPr>
              <w:t xml:space="preserve">Notes</w:t>
            </w:r>
          </w:p>
        </w:tc>
      </w:tr>
      <w:tr>
        <w:tc>
          <w:tcPr>
            <w:tcW w:type="dxa" w:w="2700"/>
            <w:tcMar>
              <w:top w:type="dxa" w:w="95"/>
              <w:left w:type="dxa" w:w="135"/>
              <w:bottom w:type="dxa" w:w="95"/>
              <w:right w:type="dxa" w:w="135"/>
            </w:tcMar>
          </w:tcPr>
          <w:p>
            <w:r>
              <w:rPr>
                <w:rFonts w:ascii="Consolas" w:cs="Consolas" w:eastAsia="Consolas" w:hAnsi="Consolas"/>
                <w:sz w:val="18"/>
                <w:szCs w:val="18"/>
              </w:rPr>
              <w:t xml:space="preserve">DATABASE_URL</w:t>
            </w:r>
          </w:p>
        </w:tc>
        <w:tc>
          <w:tcPr>
            <w:tcW w:type="dxa" w:w="1100"/>
            <w:tcMar>
              <w:top w:type="dxa" w:w="95"/>
              <w:left w:type="dxa" w:w="135"/>
              <w:bottom w:type="dxa" w:w="95"/>
              <w:right w:type="dxa" w:w="135"/>
            </w:tcMar>
          </w:tcPr>
          <w:p>
            <w:r>
              <w:rPr>
                <w:b/>
                <w:bCs/>
                <w:sz w:val="20"/>
                <w:szCs w:val="20"/>
              </w:rPr>
              <w:t xml:space="preserve">Yes</w:t>
            </w:r>
          </w:p>
        </w:tc>
        <w:tc>
          <w:tcPr>
            <w:tcW w:type="dxa" w:w="5560"/>
            <w:tcMar>
              <w:top w:type="dxa" w:w="95"/>
              <w:left w:type="dxa" w:w="135"/>
              <w:bottom w:type="dxa" w:w="95"/>
              <w:right w:type="dxa" w:w="135"/>
            </w:tcMar>
          </w:tcPr>
          <w:p>
            <w:r>
              <w:rPr>
                <w:rFonts w:ascii="Consolas" w:cs="Consolas" w:eastAsia="Consolas" w:hAnsi="Consolas"/>
                <w:sz w:val="18"/>
                <w:szCs w:val="18"/>
              </w:rPr>
              <w:t xml:space="preserve">postgresql://user:pass@host:5432/practicelab</w:t>
            </w:r>
            <w:r>
              <w:rPr>
                <w:sz w:val="20"/>
                <w:szCs w:val="20"/>
              </w:rPr>
              <w:t xml:space="preserve">. The postgres:// and postgresql+asyncpg:// forms are also accepted and normalised.</w:t>
            </w:r>
          </w:p>
        </w:tc>
      </w:tr>
      <w:tr>
        <w:tc>
          <w:tcPr>
            <w:tcW w:type="dxa" w:w="2700"/>
            <w:tcMar>
              <w:top w:type="dxa" w:w="95"/>
              <w:left w:type="dxa" w:w="135"/>
              <w:bottom w:type="dxa" w:w="95"/>
              <w:right w:type="dxa" w:w="135"/>
            </w:tcMar>
          </w:tcPr>
          <w:p>
            <w:r>
              <w:rPr>
                <w:rFonts w:ascii="Consolas" w:cs="Consolas" w:eastAsia="Consolas" w:hAnsi="Consolas"/>
                <w:sz w:val="18"/>
                <w:szCs w:val="18"/>
              </w:rPr>
              <w:t xml:space="preserve">MASTER_ADMIN_PASSPHRASE</w:t>
            </w:r>
          </w:p>
        </w:tc>
        <w:tc>
          <w:tcPr>
            <w:tcW w:type="dxa" w:w="1100"/>
            <w:tcMar>
              <w:top w:type="dxa" w:w="95"/>
              <w:left w:type="dxa" w:w="135"/>
              <w:bottom w:type="dxa" w:w="95"/>
              <w:right w:type="dxa" w:w="135"/>
            </w:tcMar>
          </w:tcPr>
          <w:p>
            <w:r>
              <w:rPr>
                <w:b/>
                <w:bCs/>
                <w:sz w:val="20"/>
                <w:szCs w:val="20"/>
              </w:rPr>
              <w:t xml:space="preserve">Yes</w:t>
            </w:r>
          </w:p>
        </w:tc>
        <w:tc>
          <w:tcPr>
            <w:tcW w:type="dxa" w:w="5560"/>
            <w:tcMar>
              <w:top w:type="dxa" w:w="95"/>
              <w:left w:type="dxa" w:w="135"/>
              <w:bottom w:type="dxa" w:w="95"/>
              <w:right w:type="dxa" w:w="135"/>
            </w:tcMar>
          </w:tcPr>
          <w:p>
            <w:r>
              <w:rPr>
                <w:sz w:val="20"/>
                <w:szCs w:val="20"/>
              </w:rPr>
              <w:t xml:space="preserve">The single shared credential gating chart retirement, deletion, force-close and the question bank. Treat as a secret; rotate through your normal process.</w:t>
            </w:r>
          </w:p>
        </w:tc>
      </w:tr>
      <w:tr>
        <w:tc>
          <w:tcPr>
            <w:tcW w:type="dxa" w:w="2700"/>
            <w:tcMar>
              <w:top w:type="dxa" w:w="95"/>
              <w:left w:type="dxa" w:w="135"/>
              <w:bottom w:type="dxa" w:w="95"/>
              <w:right w:type="dxa" w:w="135"/>
            </w:tcMar>
          </w:tcPr>
          <w:p>
            <w:r>
              <w:rPr>
                <w:rFonts w:ascii="Consolas" w:cs="Consolas" w:eastAsia="Consolas" w:hAnsi="Consolas"/>
                <w:sz w:val="18"/>
                <w:szCs w:val="18"/>
              </w:rPr>
              <w:t xml:space="preserve">STORAGE_ENDPOINT_URL</w:t>
            </w:r>
          </w:p>
        </w:tc>
        <w:tc>
          <w:tcPr>
            <w:tcW w:type="dxa" w:w="1100"/>
            <w:tcMar>
              <w:top w:type="dxa" w:w="95"/>
              <w:left w:type="dxa" w:w="135"/>
              <w:bottom w:type="dxa" w:w="95"/>
              <w:right w:type="dxa" w:w="135"/>
            </w:tcMar>
          </w:tcPr>
          <w:p>
            <w:r>
              <w:rPr>
                <w:b/>
                <w:bCs/>
                <w:sz w:val="20"/>
                <w:szCs w:val="20"/>
              </w:rPr>
              <w:t xml:space="preserve">Yes</w:t>
            </w:r>
          </w:p>
        </w:tc>
        <w:tc>
          <w:tcPr>
            <w:tcW w:type="dxa" w:w="5560"/>
            <w:tcMar>
              <w:top w:type="dxa" w:w="95"/>
              <w:left w:type="dxa" w:w="135"/>
              <w:bottom w:type="dxa" w:w="95"/>
              <w:right w:type="dxa" w:w="135"/>
            </w:tcMar>
          </w:tcPr>
          <w:p>
            <w:r>
              <w:rPr>
                <w:sz w:val="20"/>
                <w:szCs w:val="20"/>
              </w:rPr>
              <w:t xml:space="preserve">Object storage endpoint.</w:t>
            </w:r>
          </w:p>
        </w:tc>
      </w:tr>
      <w:tr>
        <w:tc>
          <w:tcPr>
            <w:tcW w:type="dxa" w:w="2700"/>
            <w:tcMar>
              <w:top w:type="dxa" w:w="95"/>
              <w:left w:type="dxa" w:w="135"/>
              <w:bottom w:type="dxa" w:w="95"/>
              <w:right w:type="dxa" w:w="135"/>
            </w:tcMar>
          </w:tcPr>
          <w:p>
            <w:r>
              <w:rPr>
                <w:rFonts w:ascii="Consolas" w:cs="Consolas" w:eastAsia="Consolas" w:hAnsi="Consolas"/>
                <w:sz w:val="18"/>
                <w:szCs w:val="18"/>
              </w:rPr>
              <w:t xml:space="preserve">STORAGE_ACCESS_KEY</w:t>
            </w:r>
          </w:p>
        </w:tc>
        <w:tc>
          <w:tcPr>
            <w:tcW w:type="dxa" w:w="1100"/>
            <w:tcMar>
              <w:top w:type="dxa" w:w="95"/>
              <w:left w:type="dxa" w:w="135"/>
              <w:bottom w:type="dxa" w:w="95"/>
              <w:right w:type="dxa" w:w="135"/>
            </w:tcMar>
          </w:tcPr>
          <w:p>
            <w:r>
              <w:rPr>
                <w:b/>
                <w:bCs/>
                <w:sz w:val="20"/>
                <w:szCs w:val="20"/>
              </w:rPr>
              <w:t xml:space="preserve">Yes</w:t>
            </w:r>
          </w:p>
        </w:tc>
        <w:tc>
          <w:tcPr>
            <w:tcW w:type="dxa" w:w="5560"/>
            <w:tcMar>
              <w:top w:type="dxa" w:w="95"/>
              <w:left w:type="dxa" w:w="135"/>
              <w:bottom w:type="dxa" w:w="95"/>
              <w:right w:type="dxa" w:w="135"/>
            </w:tcMar>
          </w:tcPr>
          <w:p>
            <w:r>
              <w:rPr>
                <w:sz w:val="20"/>
                <w:szCs w:val="20"/>
              </w:rPr>
              <w:t xml:space="preserve">Scope the credential to this one bucket.</w:t>
            </w:r>
          </w:p>
        </w:tc>
      </w:tr>
      <w:tr>
        <w:tc>
          <w:tcPr>
            <w:tcW w:type="dxa" w:w="2700"/>
            <w:tcMar>
              <w:top w:type="dxa" w:w="95"/>
              <w:left w:type="dxa" w:w="135"/>
              <w:bottom w:type="dxa" w:w="95"/>
              <w:right w:type="dxa" w:w="135"/>
            </w:tcMar>
          </w:tcPr>
          <w:p>
            <w:r>
              <w:rPr>
                <w:rFonts w:ascii="Consolas" w:cs="Consolas" w:eastAsia="Consolas" w:hAnsi="Consolas"/>
                <w:sz w:val="18"/>
                <w:szCs w:val="18"/>
              </w:rPr>
              <w:t xml:space="preserve">STORAGE_SECRET_KEY</w:t>
            </w:r>
          </w:p>
        </w:tc>
        <w:tc>
          <w:tcPr>
            <w:tcW w:type="dxa" w:w="1100"/>
            <w:tcMar>
              <w:top w:type="dxa" w:w="95"/>
              <w:left w:type="dxa" w:w="135"/>
              <w:bottom w:type="dxa" w:w="95"/>
              <w:right w:type="dxa" w:w="135"/>
            </w:tcMar>
          </w:tcPr>
          <w:p>
            <w:r>
              <w:rPr>
                <w:b/>
                <w:bCs/>
                <w:sz w:val="20"/>
                <w:szCs w:val="20"/>
              </w:rPr>
              <w:t xml:space="preserve">Yes</w:t>
            </w:r>
          </w:p>
        </w:tc>
        <w:tc>
          <w:tcPr>
            <w:tcW w:type="dxa" w:w="5560"/>
            <w:tcMar>
              <w:top w:type="dxa" w:w="95"/>
              <w:left w:type="dxa" w:w="135"/>
              <w:bottom w:type="dxa" w:w="95"/>
              <w:right w:type="dxa" w:w="135"/>
            </w:tcMar>
          </w:tcPr>
          <w:p>
            <w:r>
              <w:rPr>
                <w:sz w:val="20"/>
                <w:szCs w:val="20"/>
              </w:rPr>
              <w:t xml:space="preserve"/>
            </w:r>
          </w:p>
        </w:tc>
      </w:tr>
      <w:tr>
        <w:tc>
          <w:tcPr>
            <w:tcW w:type="dxa" w:w="2700"/>
            <w:tcMar>
              <w:top w:type="dxa" w:w="95"/>
              <w:left w:type="dxa" w:w="135"/>
              <w:bottom w:type="dxa" w:w="95"/>
              <w:right w:type="dxa" w:w="135"/>
            </w:tcMar>
          </w:tcPr>
          <w:p>
            <w:r>
              <w:rPr>
                <w:rFonts w:ascii="Consolas" w:cs="Consolas" w:eastAsia="Consolas" w:hAnsi="Consolas"/>
                <w:sz w:val="18"/>
                <w:szCs w:val="18"/>
              </w:rPr>
              <w:t xml:space="preserve">STORAGE_BUCKET_NAME</w:t>
            </w:r>
          </w:p>
        </w:tc>
        <w:tc>
          <w:tcPr>
            <w:tcW w:type="dxa" w:w="1100"/>
            <w:tcMar>
              <w:top w:type="dxa" w:w="95"/>
              <w:left w:type="dxa" w:w="135"/>
              <w:bottom w:type="dxa" w:w="95"/>
              <w:right w:type="dxa" w:w="135"/>
            </w:tcMar>
          </w:tcPr>
          <w:p>
            <w:r>
              <w:rPr>
                <w:b/>
                <w:bCs/>
                <w:sz w:val="20"/>
                <w:szCs w:val="20"/>
              </w:rPr>
              <w:t xml:space="preserve">Yes</w:t>
            </w:r>
          </w:p>
        </w:tc>
        <w:tc>
          <w:tcPr>
            <w:tcW w:type="dxa" w:w="5560"/>
            <w:tcMar>
              <w:top w:type="dxa" w:w="95"/>
              <w:left w:type="dxa" w:w="135"/>
              <w:bottom w:type="dxa" w:w="95"/>
              <w:right w:type="dxa" w:w="135"/>
            </w:tcMar>
          </w:tcPr>
          <w:p>
            <w:r>
              <w:rPr>
                <w:sz w:val="20"/>
                <w:szCs w:val="20"/>
              </w:rPr>
              <w:t xml:space="preserve">Bucket holding chart page images.</w:t>
            </w:r>
          </w:p>
        </w:tc>
      </w:tr>
      <w:tr>
        <w:tc>
          <w:tcPr>
            <w:tcW w:type="dxa" w:w="2700"/>
            <w:tcMar>
              <w:top w:type="dxa" w:w="95"/>
              <w:left w:type="dxa" w:w="135"/>
              <w:bottom w:type="dxa" w:w="95"/>
              <w:right w:type="dxa" w:w="135"/>
            </w:tcMar>
          </w:tcPr>
          <w:p>
            <w:r>
              <w:rPr>
                <w:rFonts w:ascii="Consolas" w:cs="Consolas" w:eastAsia="Consolas" w:hAnsi="Consolas"/>
                <w:sz w:val="18"/>
                <w:szCs w:val="18"/>
              </w:rPr>
              <w:t xml:space="preserve">STORAGE_PUBLIC_URL</w:t>
            </w:r>
          </w:p>
        </w:tc>
        <w:tc>
          <w:tcPr>
            <w:tcW w:type="dxa" w:w="1100"/>
            <w:tcMar>
              <w:top w:type="dxa" w:w="95"/>
              <w:left w:type="dxa" w:w="135"/>
              <w:bottom w:type="dxa" w:w="95"/>
              <w:right w:type="dxa" w:w="135"/>
            </w:tcMar>
          </w:tcPr>
          <w:p>
            <w:r>
              <w:rPr>
                <w:sz w:val="20"/>
                <w:szCs w:val="20"/>
              </w:rPr>
              <w:t xml:space="preserve">No</w:t>
            </w:r>
          </w:p>
        </w:tc>
        <w:tc>
          <w:tcPr>
            <w:tcW w:type="dxa" w:w="5560"/>
            <w:tcMar>
              <w:top w:type="dxa" w:w="95"/>
              <w:left w:type="dxa" w:w="135"/>
              <w:bottom w:type="dxa" w:w="95"/>
              <w:right w:type="dxa" w:w="135"/>
            </w:tcMar>
          </w:tcPr>
          <w:p>
            <w:r>
              <w:rPr>
                <w:sz w:val="20"/>
                <w:szCs w:val="20"/>
              </w:rPr>
              <w:t xml:space="preserve">Must be present but is currently unread. Any value.</w:t>
            </w:r>
          </w:p>
        </w:tc>
      </w:tr>
      <w:tr>
        <w:tc>
          <w:tcPr>
            <w:tcW w:type="dxa" w:w="2700"/>
            <w:tcMar>
              <w:top w:type="dxa" w:w="95"/>
              <w:left w:type="dxa" w:w="135"/>
              <w:bottom w:type="dxa" w:w="95"/>
              <w:right w:type="dxa" w:w="135"/>
            </w:tcMar>
          </w:tcPr>
          <w:p>
            <w:r>
              <w:rPr>
                <w:rFonts w:ascii="Consolas" w:cs="Consolas" w:eastAsia="Consolas" w:hAnsi="Consolas"/>
                <w:sz w:val="18"/>
                <w:szCs w:val="18"/>
              </w:rPr>
              <w:t xml:space="preserve">CORS_ORIGINS</w:t>
            </w:r>
          </w:p>
        </w:tc>
        <w:tc>
          <w:tcPr>
            <w:tcW w:type="dxa" w:w="1100"/>
            <w:tcMar>
              <w:top w:type="dxa" w:w="95"/>
              <w:left w:type="dxa" w:w="135"/>
              <w:bottom w:type="dxa" w:w="95"/>
              <w:right w:type="dxa" w:w="135"/>
            </w:tcMar>
          </w:tcPr>
          <w:p>
            <w:r>
              <w:rPr>
                <w:sz w:val="20"/>
                <w:szCs w:val="20"/>
              </w:rPr>
              <w:t xml:space="preserve">No</w:t>
            </w:r>
          </w:p>
        </w:tc>
        <w:tc>
          <w:tcPr>
            <w:tcW w:type="dxa" w:w="5560"/>
            <w:tcMar>
              <w:top w:type="dxa" w:w="95"/>
              <w:left w:type="dxa" w:w="135"/>
              <w:bottom w:type="dxa" w:w="95"/>
              <w:right w:type="dxa" w:w="135"/>
            </w:tcMar>
          </w:tcPr>
          <w:p>
            <w:r>
              <w:rPr>
                <w:b/>
                <w:bCs/>
                <w:sz w:val="20"/>
                <w:szCs w:val="20"/>
              </w:rPr>
              <w:t xml:space="preserve">Not needed in this deployment.</w:t>
            </w:r>
            <w:r>
              <w:rPr>
                <w:sz w:val="20"/>
                <w:szCs w:val="20"/>
              </w:rPr>
              <w:t xml:space="preserve"> One container serves the interface and the API from the same origin, so the browser never makes a cross-origin request.</w:t>
            </w:r>
          </w:p>
        </w:tc>
      </w:tr>
      <w:tr>
        <w:tc>
          <w:tcPr>
            <w:tcW w:type="dxa" w:w="2700"/>
            <w:tcMar>
              <w:top w:type="dxa" w:w="95"/>
              <w:left w:type="dxa" w:w="135"/>
              <w:bottom w:type="dxa" w:w="95"/>
              <w:right w:type="dxa" w:w="135"/>
            </w:tcMar>
          </w:tcPr>
          <w:p>
            <w:r>
              <w:rPr>
                <w:rFonts w:ascii="Consolas" w:cs="Consolas" w:eastAsia="Consolas" w:hAnsi="Consolas"/>
                <w:sz w:val="18"/>
                <w:szCs w:val="18"/>
              </w:rPr>
              <w:t xml:space="preserve">FRONTEND_URL</w:t>
            </w:r>
          </w:p>
        </w:tc>
        <w:tc>
          <w:tcPr>
            <w:tcW w:type="dxa" w:w="1100"/>
            <w:tcMar>
              <w:top w:type="dxa" w:w="95"/>
              <w:left w:type="dxa" w:w="135"/>
              <w:bottom w:type="dxa" w:w="95"/>
              <w:right w:type="dxa" w:w="135"/>
            </w:tcMar>
          </w:tcPr>
          <w:p>
            <w:r>
              <w:rPr>
                <w:sz w:val="20"/>
                <w:szCs w:val="20"/>
              </w:rPr>
              <w:t xml:space="preserve">No</w:t>
            </w:r>
          </w:p>
        </w:tc>
        <w:tc>
          <w:tcPr>
            <w:tcW w:type="dxa" w:w="5560"/>
            <w:tcMar>
              <w:top w:type="dxa" w:w="95"/>
              <w:left w:type="dxa" w:w="135"/>
              <w:bottom w:type="dxa" w:w="95"/>
              <w:right w:type="dxa" w:w="135"/>
            </w:tcMar>
          </w:tcPr>
          <w:p>
            <w:r>
              <w:rPr>
                <w:sz w:val="20"/>
                <w:szCs w:val="20"/>
              </w:rPr>
              <w:t xml:space="preserve">Used only when generating links.</w:t>
            </w:r>
          </w:p>
        </w:tc>
      </w:tr>
    </w:tbl>
    <w:p>
      <w:pPr>
        <w:spacing w:after="0" w:before="0" w:line="20"/>
      </w:pPr>
    </w:p>
    <w:tbl>
      <w:tblPr>
        <w:tblW w:type="dxa" w:w="9360"/>
        <w:tblBorders>
          <w:top w:val="single" w:color="2E75B6" w:sz="4"/>
          <w:left w:val="single" w:color="2E75B6" w:sz="18"/>
          <w:bottom w:val="single" w:color="2E75B6" w:sz="4"/>
          <w:right w:val="single" w:color="2E75B6" w:sz="4"/>
          <w:insideH w:val="single" w:color="auto" w:sz="4"/>
          <w:insideV w:val="single" w:color="auto" w:sz="4"/>
        </w:tblBorders>
      </w:tblPr>
      <w:tblGrid>
        <w:gridCol w:w="9360"/>
      </w:tblGrid>
      <w:tr>
        <w:tc>
          <w:tcPr>
            <w:tcW w:type="dxa" w:w="9360"/>
            <w:shd w:fill="EEF4FB" w:val="clear"/>
            <w:tcMar>
              <w:top w:type="dxa" w:w="150"/>
              <w:left w:type="dxa" w:w="190"/>
              <w:bottom w:type="dxa" w:w="150"/>
              <w:right w:type="dxa" w:w="190"/>
            </w:tcMar>
          </w:tcPr>
          <w:p>
            <w:pPr>
              <w:spacing w:after="85"/>
            </w:pPr>
            <w:r>
              <w:rPr>
                <w:b/>
                <w:bCs/>
                <w:color w:val="1F3864"/>
                <w:sz w:val="21"/>
                <w:szCs w:val="21"/>
              </w:rPr>
              <w:t xml:space="preserve">Keep them in a file, not on the command line</w:t>
            </w:r>
          </w:p>
          <w:p>
            <w:pPr>
              <w:spacing w:after="65" w:line="285"/>
            </w:pPr>
            <w:r>
              <w:rPr>
                <w:sz w:val="21"/>
                <w:szCs w:val="21"/>
              </w:rPr>
              <w:t xml:space="preserve">Values passed as arguments appear in shell history and in process listings. An env-file keeps the passphrase and the storage keys out of both.</w:t>
            </w:r>
          </w:p>
        </w:tc>
      </w:tr>
    </w:tbl>
    <w:p>
      <w:r>
        <w:br w:type="page"/>
      </w:r>
    </w:p>
    <w:p>
      <w:pPr>
        <w:pStyle w:val="Heading1"/>
        <w:spacing w:after="170" w:before="400"/>
      </w:pPr>
      <w:r>
        <w:rPr>
          <w:b/>
          <w:bCs/>
          <w:color w:val="1F3864"/>
          <w:sz w:val="30"/>
          <w:szCs w:val="30"/>
        </w:rPr>
        <w:t xml:space="preserve">5. Running it</w:t>
      </w:r>
    </w:p>
    <w:p>
      <w:pPr>
        <w:pBdr>
          <w:left w:val="single" w:color="2E75B6" w:sz="12" w:space="6"/>
        </w:pBdr>
        <w:shd w:fill="F2F2F2" w:val="clear"/>
        <w:spacing w:after="150" w:before="110" w:line="265"/>
        <w:ind w:left="130"/>
      </w:pPr>
      <w:r>
        <w:rPr>
          <w:rFonts w:ascii="Consolas" w:cs="Consolas" w:eastAsia="Consolas" w:hAnsi="Consolas"/>
          <w:sz w:val="18"/>
          <w:szCs w:val="18"/>
        </w:rPr>
        <w:t xml:space="preserve">docker run -d --name practicelab \</w:t>
      </w:r>
      <w:r>
        <w:br/>
      </w:r>
      <w:r>
        <w:rPr>
          <w:rFonts w:ascii="Consolas" w:cs="Consolas" w:eastAsia="Consolas" w:hAnsi="Consolas"/>
          <w:sz w:val="18"/>
          <w:szCs w:val="18"/>
        </w:rPr>
        <w:t xml:space="preserve">  -p 8000:8000 \</w:t>
      </w:r>
      <w:r>
        <w:br/>
      </w:r>
      <w:r>
        <w:rPr>
          <w:rFonts w:ascii="Consolas" w:cs="Consolas" w:eastAsia="Consolas" w:hAnsi="Consolas"/>
          <w:sz w:val="18"/>
          <w:szCs w:val="18"/>
        </w:rPr>
        <w:t xml:space="preserve">  --env-file /etc/practicelab/practicelab.env \</w:t>
      </w:r>
      <w:r>
        <w:br/>
      </w:r>
      <w:r>
        <w:rPr>
          <w:rFonts w:ascii="Consolas" w:cs="Consolas" w:eastAsia="Consolas" w:hAnsi="Consolas"/>
          <w:sz w:val="18"/>
          <w:szCs w:val="18"/>
        </w:rPr>
        <w:t xml:space="preserve">  --restart unless-stopped \</w:t>
      </w:r>
      <w:r>
        <w:br/>
      </w:r>
      <w:r>
        <w:rPr>
          <w:rFonts w:ascii="Consolas" w:cs="Consolas" w:eastAsia="Consolas" w:hAnsi="Consolas"/>
          <w:sz w:val="18"/>
          <w:szCs w:val="18"/>
        </w:rPr>
        <w:t xml:space="preserve">  practicelab:1.0</w:t>
      </w:r>
    </w:p>
    <w:p>
      <w:pPr>
        <w:pStyle w:val="Heading2"/>
        <w:spacing w:after="130" w:before="300"/>
      </w:pPr>
      <w:r>
        <w:rPr>
          <w:b/>
          <w:bCs/>
          <w:color w:val="1F3864"/>
          <w:sz w:val="24"/>
          <w:szCs w:val="24"/>
        </w:rPr>
        <w:t xml:space="preserve">5.1 Behind a reverse proxy</w:t>
      </w:r>
    </w:p>
    <w:p>
      <w:pPr>
        <w:spacing w:after="130" w:line="285"/>
      </w:pPr>
      <w:r>
        <w:rPr>
          <w:sz w:val="21"/>
          <w:szCs w:val="21"/>
        </w:rPr>
        <w:t xml:space="preserve">Nothing special is required. The application serves the interface and the API from one origin, so there is no path rewriting to configure — proxy everything to port 8000.</w:t>
      </w:r>
    </w:p>
    <w:p>
      <w:pPr>
        <w:pStyle w:val="Heading2"/>
        <w:spacing w:after="130" w:before="300"/>
      </w:pPr>
      <w:r>
        <w:rPr>
          <w:b/>
          <w:bCs/>
          <w:color w:val="1F3864"/>
          <w:sz w:val="24"/>
          <w:szCs w:val="24"/>
        </w:rPr>
        <w:t xml:space="preserve">5.2 Running more than one replica</w:t>
      </w:r>
    </w:p>
    <w:p>
      <w:pPr>
        <w:spacing w:after="130" w:line="285"/>
      </w:pPr>
      <w:r>
        <w:rPr>
          <w:sz w:val="21"/>
          <w:szCs w:val="21"/>
        </w:rPr>
        <w:t xml:space="preserve">The container holds no session state, so it scales horizontally. Every replica runs the startup migrations described in the next section; those are idempotent and guarded, so this is safe. Staggering starts avoids duplicate log noise.</w:t>
      </w:r>
    </w:p>
    <w:p>
      <w:r>
        <w:br w:type="page"/>
      </w:r>
    </w:p>
    <w:p>
      <w:pPr>
        <w:pStyle w:val="Heading1"/>
        <w:spacing w:after="170" w:before="400"/>
      </w:pPr>
      <w:r>
        <w:rPr>
          <w:b/>
          <w:bCs/>
          <w:color w:val="1F3864"/>
          <w:sz w:val="30"/>
          <w:szCs w:val="30"/>
        </w:rPr>
        <w:t xml:space="preserve">6. What happens at startup</w:t>
      </w:r>
    </w:p>
    <w:p>
      <w:pPr>
        <w:spacing w:after="130" w:line="285"/>
      </w:pPr>
      <w:r>
        <w:rPr>
          <w:sz w:val="21"/>
          <w:szCs w:val="21"/>
        </w:rPr>
        <w:t xml:space="preserve">The application runs its own schema migrations on every start, not only the first. There is no separate migration step to schedule and no migration tool to install.</w:t>
      </w:r>
    </w:p>
    <w:p>
      <w:pPr>
        <w:spacing w:after="130" w:line="285"/>
      </w:pPr>
      <w:r>
        <w:rPr>
          <w:sz w:val="21"/>
          <w:szCs w:val="21"/>
        </w:rPr>
        <w:t xml:space="preserve">Migrations are additive: they create tables and add columns, and never drop or rewrite. An older image will therefore normally run against a newer schema, which is what makes rollback safe.</w:t>
      </w:r>
    </w:p>
    <w:p>
      <w:pPr>
        <w:pStyle w:val="Heading2"/>
        <w:spacing w:after="130" w:before="300"/>
      </w:pPr>
      <w:r>
        <w:rPr>
          <w:b/>
          <w:bCs/>
          <w:color w:val="1F3864"/>
          <w:sz w:val="24"/>
          <w:szCs w:val="24"/>
        </w:rPr>
        <w:t xml:space="preserve">6.1 Migration failures are logged, not fatal</w:t>
      </w:r>
    </w:p>
    <w:p>
      <w:pPr>
        <w:spacing w:after="130" w:line="285"/>
      </w:pPr>
      <w:r>
        <w:rPr>
          <w:sz w:val="21"/>
          <w:szCs w:val="21"/>
        </w:rPr>
        <w:t xml:space="preserve">A migration that fails is recorded and startup continues. After any upgrade, search the logs for:</w:t>
      </w:r>
    </w:p>
    <w:p>
      <w:pPr>
        <w:pBdr>
          <w:left w:val="single" w:color="2E75B6" w:sz="12" w:space="6"/>
        </w:pBdr>
        <w:shd w:fill="F2F2F2" w:val="clear"/>
        <w:spacing w:after="150" w:before="110" w:line="265"/>
        <w:ind w:left="130"/>
      </w:pPr>
      <w:r>
        <w:rPr>
          <w:rFonts w:ascii="Consolas" w:cs="Consolas" w:eastAsia="Consolas" w:hAnsi="Consolas"/>
          <w:sz w:val="18"/>
          <w:szCs w:val="18"/>
        </w:rPr>
        <w:t xml:space="preserve">Migration DDL failed</w:t>
      </w:r>
    </w:p>
    <w:p>
      <w:pPr>
        <w:spacing w:after="130" w:line="285"/>
      </w:pPr>
      <w:r>
        <w:rPr>
          <w:sz w:val="21"/>
          <w:szCs w:val="21"/>
        </w:rPr>
        <w:t xml:space="preserve">On a correctly configured database this must not appear. Any occurrence should be investigated before the environment is accepted.</w:t>
      </w:r>
    </w:p>
    <w:p>
      <w:pPr>
        <w:pStyle w:val="Heading2"/>
        <w:spacing w:after="130" w:before="300"/>
      </w:pPr>
      <w:r>
        <w:rPr>
          <w:b/>
          <w:bCs/>
          <w:color w:val="1F3864"/>
          <w:sz w:val="24"/>
          <w:szCs w:val="24"/>
        </w:rPr>
        <w:t xml:space="preserve">6.2 One ordering rule</w:t>
      </w:r>
    </w:p>
    <w:p>
      <w:pPr>
        <w:spacing w:after="130" w:line="285"/>
      </w:pPr>
      <w:r>
        <w:rPr>
          <w:sz w:val="21"/>
          <w:szCs w:val="21"/>
        </w:rPr>
        <w:t xml:space="preserve">If the </w:t>
      </w:r>
      <w:r>
        <w:rPr>
          <w:rFonts w:ascii="Consolas" w:cs="Consolas" w:eastAsia="Consolas" w:hAnsi="Consolas"/>
          <w:color w:val="7B1FA2"/>
          <w:sz w:val="19"/>
          <w:szCs w:val="19"/>
        </w:rPr>
        <w:t xml:space="preserve">assessment_questions</w:t>
      </w:r>
      <w:r>
        <w:rPr>
          <w:sz w:val="21"/>
          <w:szCs w:val="21"/>
        </w:rPr>
        <w:t xml:space="preserve"> table is empty at startup, the application seeds a set of sample questions.</w:t>
      </w:r>
    </w:p>
    <w:tbl>
      <w:tblPr>
        <w:tblW w:type="dxa" w:w="9360"/>
        <w:tblBorders>
          <w:top w:val="single" w:color="E8A33D" w:sz="4"/>
          <w:left w:val="single" w:color="E8A33D" w:sz="18"/>
          <w:bottom w:val="single" w:color="E8A33D" w:sz="4"/>
          <w:right w:val="single" w:color="E8A33D" w:sz="4"/>
          <w:insideH w:val="single" w:color="auto" w:sz="4"/>
          <w:insideV w:val="single" w:color="auto" w:sz="4"/>
        </w:tblBorders>
      </w:tblPr>
      <w:tblGrid>
        <w:gridCol w:w="9360"/>
      </w:tblGrid>
      <w:tr>
        <w:tc>
          <w:tcPr>
            <w:tcW w:type="dxa" w:w="9360"/>
            <w:shd w:fill="FFF4E5" w:val="clear"/>
            <w:tcMar>
              <w:top w:type="dxa" w:w="150"/>
              <w:left w:type="dxa" w:w="190"/>
              <w:bottom w:type="dxa" w:w="150"/>
              <w:right w:type="dxa" w:w="190"/>
            </w:tcMar>
          </w:tcPr>
          <w:p>
            <w:pPr>
              <w:spacing w:after="85"/>
            </w:pPr>
            <w:r>
              <w:rPr>
                <w:b/>
                <w:bCs/>
                <w:color w:val="8A5A00"/>
                <w:sz w:val="21"/>
                <w:szCs w:val="21"/>
              </w:rPr>
              <w:t xml:space="preserve">Restore the database first, then start the container</w:t>
            </w:r>
          </w:p>
          <w:p>
            <w:pPr>
              <w:spacing w:after="65" w:line="285"/>
            </w:pPr>
            <w:r>
              <w:rPr>
                <w:b/>
                <w:bCs/>
                <w:sz w:val="21"/>
                <w:szCs w:val="21"/>
              </w:rPr>
              <w:t xml:space="preserve">Restore, then start</w:t>
            </w:r>
            <w:r>
              <w:rPr>
                <w:sz w:val="21"/>
                <w:szCs w:val="21"/>
              </w:rPr>
              <w:t xml:space="preserve"> — the table is already populated, seeding is skipped. Correct.</w:t>
            </w:r>
          </w:p>
          <w:p>
            <w:pPr>
              <w:spacing w:after="65" w:line="285"/>
            </w:pPr>
            <w:r>
              <w:rPr>
                <w:b/>
                <w:bCs/>
                <w:sz w:val="21"/>
                <w:szCs w:val="21"/>
              </w:rPr>
              <w:t xml:space="preserve">Start, then restore</w:t>
            </w:r>
            <w:r>
              <w:rPr>
                <w:sz w:val="21"/>
                <w:szCs w:val="21"/>
              </w:rPr>
              <w:t xml:space="preserve"> — seeded rows are present and the restore fails on duplicate keys.</w:t>
            </w:r>
          </w:p>
          <w:p>
            <w:pPr>
              <w:spacing w:after="65" w:line="285"/>
            </w:pPr>
            <w:r>
              <w:rPr>
                <w:sz w:val="21"/>
                <w:szCs w:val="21"/>
              </w:rPr>
              <w:t xml:space="preserve">If the container has already been started against an empty database, drop and recreate the database before restoring.</w:t>
            </w:r>
          </w:p>
        </w:tc>
      </w:tr>
    </w:tbl>
    <w:p>
      <w:r>
        <w:br w:type="page"/>
      </w:r>
    </w:p>
    <w:p>
      <w:pPr>
        <w:pStyle w:val="Heading1"/>
        <w:spacing w:after="170" w:before="400"/>
      </w:pPr>
      <w:r>
        <w:rPr>
          <w:b/>
          <w:bCs/>
          <w:color w:val="1F3864"/>
          <w:sz w:val="30"/>
          <w:szCs w:val="30"/>
        </w:rPr>
        <w:t xml:space="preserve">7. Verifying the deployment</w:t>
      </w:r>
    </w:p>
    <w:p>
      <w:pPr>
        <w:spacing w:after="130" w:line="285"/>
      </w:pPr>
      <w:r>
        <w:rPr>
          <w:sz w:val="21"/>
          <w:szCs w:val="21"/>
        </w:rPr>
        <w:t xml:space="preserve">This section is the reason the guide exists. The application does not fail loudly when it is misconfigured — it degrades to silence, and a broken environment looks like a working one.</w:t>
      </w:r>
    </w:p>
    <w:p>
      <w:pPr>
        <w:pStyle w:val="Heading2"/>
        <w:spacing w:after="130" w:before="300"/>
      </w:pPr>
      <w:r>
        <w:rPr>
          <w:b/>
          <w:bCs/>
          <w:color w:val="1F3864"/>
          <w:sz w:val="24"/>
          <w:szCs w:val="24"/>
        </w:rPr>
        <w:t xml:space="preserve">7.1 The quick check</w:t>
      </w:r>
    </w:p>
    <w:p>
      <w:pPr>
        <w:pBdr>
          <w:left w:val="single" w:color="2E75B6" w:sz="12" w:space="6"/>
        </w:pBdr>
        <w:shd w:fill="F2F2F2" w:val="clear"/>
        <w:spacing w:after="150" w:before="110" w:line="265"/>
        <w:ind w:left="130"/>
      </w:pPr>
      <w:r>
        <w:rPr>
          <w:rFonts w:ascii="Consolas" w:cs="Consolas" w:eastAsia="Consolas" w:hAnsi="Consolas"/>
          <w:sz w:val="18"/>
          <w:szCs w:val="18"/>
        </w:rPr>
        <w:t xml:space="preserve">curl -s http://localhost:8000/health</w:t>
      </w:r>
    </w:p>
    <w:p>
      <w:pPr>
        <w:pBdr>
          <w:left w:val="single" w:color="2E75B6" w:sz="12" w:space="6"/>
        </w:pBdr>
        <w:shd w:fill="F2F2F2" w:val="clear"/>
        <w:spacing w:after="150" w:before="110" w:line="265"/>
        <w:ind w:left="130"/>
      </w:pPr>
      <w:r>
        <w:rPr>
          <w:rFonts w:ascii="Consolas" w:cs="Consolas" w:eastAsia="Consolas" w:hAnsi="Consolas"/>
          <w:sz w:val="18"/>
          <w:szCs w:val="18"/>
        </w:rPr>
        <w:t xml:space="preserve">{"status":"ok","python":"3.11.9","database":"postgresql",</w:t>
      </w:r>
      <w:r>
        <w:br/>
      </w:r>
      <w:r>
        <w:rPr>
          <w:rFonts w:ascii="Consolas" w:cs="Consolas" w:eastAsia="Consolas" w:hAnsi="Consolas"/>
          <w:sz w:val="18"/>
          <w:szCs w:val="18"/>
        </w:rPr>
        <w:t xml:space="preserve"> "build":"51ba232","serving_ui":true}</w:t>
      </w:r>
    </w:p>
    <w:p>
      <w:pPr>
        <w:spacing w:after="130" w:line="285"/>
      </w:pPr>
      <w:r>
        <w:rPr>
          <w:sz w:val="21"/>
          <w:szCs w:val="21"/>
        </w:rPr>
        <w:t xml:space="preserve">Read all four fields. Each has a failure meaning:</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900"/>
        <w:gridCol w:w="1900"/>
        <w:gridCol w:w="5560"/>
      </w:tblGrid>
      <w:tr>
        <w:trPr>
          <w:tblHeader/>
        </w:trPr>
        <w:tc>
          <w:tcPr>
            <w:tcW w:type="dxa" w:w="1900"/>
            <w:shd w:fill="DCE6F1" w:val="clear"/>
            <w:tcMar>
              <w:top w:type="dxa" w:w="95"/>
              <w:left w:type="dxa" w:w="135"/>
              <w:bottom w:type="dxa" w:w="95"/>
              <w:right w:type="dxa" w:w="135"/>
            </w:tcMar>
          </w:tcPr>
          <w:p>
            <w:r>
              <w:rPr>
                <w:b/>
                <w:bCs/>
                <w:color w:val="1F3864"/>
                <w:sz w:val="20"/>
                <w:szCs w:val="20"/>
              </w:rPr>
              <w:t xml:space="preserve">Field</w:t>
            </w:r>
          </w:p>
        </w:tc>
        <w:tc>
          <w:tcPr>
            <w:tcW w:type="dxa" w:w="1900"/>
            <w:shd w:fill="DCE6F1" w:val="clear"/>
            <w:tcMar>
              <w:top w:type="dxa" w:w="95"/>
              <w:left w:type="dxa" w:w="135"/>
              <w:bottom w:type="dxa" w:w="95"/>
              <w:right w:type="dxa" w:w="135"/>
            </w:tcMar>
          </w:tcPr>
          <w:p>
            <w:r>
              <w:rPr>
                <w:b/>
                <w:bCs/>
                <w:color w:val="1F3864"/>
                <w:sz w:val="20"/>
                <w:szCs w:val="20"/>
              </w:rPr>
              <w:t xml:space="preserve">Expected</w:t>
            </w:r>
          </w:p>
        </w:tc>
        <w:tc>
          <w:tcPr>
            <w:tcW w:type="dxa" w:w="5560"/>
            <w:shd w:fill="DCE6F1" w:val="clear"/>
            <w:tcMar>
              <w:top w:type="dxa" w:w="95"/>
              <w:left w:type="dxa" w:w="135"/>
              <w:bottom w:type="dxa" w:w="95"/>
              <w:right w:type="dxa" w:w="135"/>
            </w:tcMar>
          </w:tcPr>
          <w:p>
            <w:r>
              <w:rPr>
                <w:b/>
                <w:bCs/>
                <w:color w:val="1F3864"/>
                <w:sz w:val="20"/>
                <w:szCs w:val="20"/>
              </w:rPr>
              <w:t xml:space="preserve">If it says otherwise</w:t>
            </w:r>
          </w:p>
        </w:tc>
      </w:tr>
      <w:tr>
        <w:tc>
          <w:tcPr>
            <w:tcW w:type="dxa" w:w="1900"/>
            <w:tcMar>
              <w:top w:type="dxa" w:w="95"/>
              <w:left w:type="dxa" w:w="135"/>
              <w:bottom w:type="dxa" w:w="95"/>
              <w:right w:type="dxa" w:w="135"/>
            </w:tcMar>
          </w:tcPr>
          <w:p>
            <w:r>
              <w:rPr>
                <w:rFonts w:ascii="Consolas" w:cs="Consolas" w:eastAsia="Consolas" w:hAnsi="Consolas"/>
                <w:sz w:val="18"/>
                <w:szCs w:val="18"/>
              </w:rPr>
              <w:t xml:space="preserve">python</w:t>
            </w:r>
          </w:p>
        </w:tc>
        <w:tc>
          <w:tcPr>
            <w:tcW w:type="dxa" w:w="1900"/>
            <w:tcMar>
              <w:top w:type="dxa" w:w="95"/>
              <w:left w:type="dxa" w:w="135"/>
              <w:bottom w:type="dxa" w:w="95"/>
              <w:right w:type="dxa" w:w="135"/>
            </w:tcMar>
          </w:tcPr>
          <w:p>
            <w:r>
              <w:rPr>
                <w:rFonts w:ascii="Consolas" w:cs="Consolas" w:eastAsia="Consolas" w:hAnsi="Consolas"/>
                <w:sz w:val="18"/>
                <w:szCs w:val="18"/>
              </w:rPr>
              <w:t xml:space="preserve">3.11.x</w:t>
            </w:r>
          </w:p>
        </w:tc>
        <w:tc>
          <w:tcPr>
            <w:tcW w:type="dxa" w:w="5560"/>
            <w:tcMar>
              <w:top w:type="dxa" w:w="95"/>
              <w:left w:type="dxa" w:w="135"/>
              <w:bottom w:type="dxa" w:w="95"/>
              <w:right w:type="dxa" w:w="135"/>
            </w:tcMar>
          </w:tcPr>
          <w:p>
            <w:r>
              <w:rPr>
                <w:sz w:val="20"/>
                <w:szCs w:val="20"/>
              </w:rPr>
              <w:t xml:space="preserve">The image was not built from this Dockerfile.</w:t>
            </w:r>
          </w:p>
        </w:tc>
      </w:tr>
      <w:tr>
        <w:tc>
          <w:tcPr>
            <w:tcW w:type="dxa" w:w="1900"/>
            <w:tcMar>
              <w:top w:type="dxa" w:w="95"/>
              <w:left w:type="dxa" w:w="135"/>
              <w:bottom w:type="dxa" w:w="95"/>
              <w:right w:type="dxa" w:w="135"/>
            </w:tcMar>
          </w:tcPr>
          <w:p>
            <w:r>
              <w:rPr>
                <w:rFonts w:ascii="Consolas" w:cs="Consolas" w:eastAsia="Consolas" w:hAnsi="Consolas"/>
                <w:sz w:val="18"/>
                <w:szCs w:val="18"/>
              </w:rPr>
              <w:t xml:space="preserve">database</w:t>
            </w:r>
          </w:p>
        </w:tc>
        <w:tc>
          <w:tcPr>
            <w:tcW w:type="dxa" w:w="1900"/>
            <w:tcMar>
              <w:top w:type="dxa" w:w="95"/>
              <w:left w:type="dxa" w:w="135"/>
              <w:bottom w:type="dxa" w:w="95"/>
              <w:right w:type="dxa" w:w="135"/>
            </w:tcMar>
          </w:tcPr>
          <w:p>
            <w:r>
              <w:rPr>
                <w:rFonts w:ascii="Consolas" w:cs="Consolas" w:eastAsia="Consolas" w:hAnsi="Consolas"/>
                <w:sz w:val="18"/>
                <w:szCs w:val="18"/>
              </w:rPr>
              <w:t xml:space="preserve">postgresql</w:t>
            </w:r>
          </w:p>
        </w:tc>
        <w:tc>
          <w:tcPr>
            <w:tcW w:type="dxa" w:w="5560"/>
            <w:tcMar>
              <w:top w:type="dxa" w:w="95"/>
              <w:left w:type="dxa" w:w="135"/>
              <w:bottom w:type="dxa" w:w="95"/>
              <w:right w:type="dxa" w:w="135"/>
            </w:tcMar>
          </w:tcPr>
          <w:p>
            <w:r>
              <w:rPr>
                <w:rFonts w:ascii="Consolas" w:cs="Consolas" w:eastAsia="Consolas" w:hAnsi="Consolas"/>
                <w:sz w:val="18"/>
                <w:szCs w:val="18"/>
              </w:rPr>
              <w:t xml:space="preserve">sqlite</w:t>
            </w:r>
            <w:r>
              <w:rPr>
                <w:b/>
                <w:bCs/>
                <w:sz w:val="20"/>
                <w:szCs w:val="20"/>
              </w:rPr>
              <w:t xml:space="preserve"> means DATABASE_URL never reached the container. The application is writing to a temporary file and will lose everything on restart — while appearing entirely healthy.</w:t>
            </w:r>
          </w:p>
        </w:tc>
      </w:tr>
      <w:tr>
        <w:tc>
          <w:tcPr>
            <w:tcW w:type="dxa" w:w="1900"/>
            <w:tcMar>
              <w:top w:type="dxa" w:w="95"/>
              <w:left w:type="dxa" w:w="135"/>
              <w:bottom w:type="dxa" w:w="95"/>
              <w:right w:type="dxa" w:w="135"/>
            </w:tcMar>
          </w:tcPr>
          <w:p>
            <w:r>
              <w:rPr>
                <w:rFonts w:ascii="Consolas" w:cs="Consolas" w:eastAsia="Consolas" w:hAnsi="Consolas"/>
                <w:sz w:val="18"/>
                <w:szCs w:val="18"/>
              </w:rPr>
              <w:t xml:space="preserve">build</w:t>
            </w:r>
          </w:p>
        </w:tc>
        <w:tc>
          <w:tcPr>
            <w:tcW w:type="dxa" w:w="1900"/>
            <w:tcMar>
              <w:top w:type="dxa" w:w="95"/>
              <w:left w:type="dxa" w:w="135"/>
              <w:bottom w:type="dxa" w:w="95"/>
              <w:right w:type="dxa" w:w="135"/>
            </w:tcMar>
          </w:tcPr>
          <w:p>
            <w:r>
              <w:rPr>
                <w:sz w:val="20"/>
                <w:szCs w:val="20"/>
              </w:rPr>
              <w:t xml:space="preserve">Your BUILD_REF</w:t>
            </w:r>
          </w:p>
        </w:tc>
        <w:tc>
          <w:tcPr>
            <w:tcW w:type="dxa" w:w="5560"/>
            <w:tcMar>
              <w:top w:type="dxa" w:w="95"/>
              <w:left w:type="dxa" w:w="135"/>
              <w:bottom w:type="dxa" w:w="95"/>
              <w:right w:type="dxa" w:w="135"/>
            </w:tcMar>
          </w:tcPr>
          <w:p>
            <w:r>
              <w:rPr>
                <w:sz w:val="20"/>
                <w:szCs w:val="20"/>
              </w:rPr>
              <w:t xml:space="preserve">A different version is running than the one you deployed.</w:t>
            </w:r>
          </w:p>
        </w:tc>
      </w:tr>
      <w:tr>
        <w:tc>
          <w:tcPr>
            <w:tcW w:type="dxa" w:w="1900"/>
            <w:tcMar>
              <w:top w:type="dxa" w:w="95"/>
              <w:left w:type="dxa" w:w="135"/>
              <w:bottom w:type="dxa" w:w="95"/>
              <w:right w:type="dxa" w:w="135"/>
            </w:tcMar>
          </w:tcPr>
          <w:p>
            <w:r>
              <w:rPr>
                <w:rFonts w:ascii="Consolas" w:cs="Consolas" w:eastAsia="Consolas" w:hAnsi="Consolas"/>
                <w:sz w:val="18"/>
                <w:szCs w:val="18"/>
              </w:rPr>
              <w:t xml:space="preserve">serving_ui</w:t>
            </w:r>
          </w:p>
        </w:tc>
        <w:tc>
          <w:tcPr>
            <w:tcW w:type="dxa" w:w="1900"/>
            <w:tcMar>
              <w:top w:type="dxa" w:w="95"/>
              <w:left w:type="dxa" w:w="135"/>
              <w:bottom w:type="dxa" w:w="95"/>
              <w:right w:type="dxa" w:w="135"/>
            </w:tcMar>
          </w:tcPr>
          <w:p>
            <w:r>
              <w:rPr>
                <w:rFonts w:ascii="Consolas" w:cs="Consolas" w:eastAsia="Consolas" w:hAnsi="Consolas"/>
                <w:sz w:val="18"/>
                <w:szCs w:val="18"/>
              </w:rPr>
              <w:t xml:space="preserve">true</w:t>
            </w:r>
          </w:p>
        </w:tc>
        <w:tc>
          <w:tcPr>
            <w:tcW w:type="dxa" w:w="5560"/>
            <w:tcMar>
              <w:top w:type="dxa" w:w="95"/>
              <w:left w:type="dxa" w:w="135"/>
              <w:bottom w:type="dxa" w:w="95"/>
              <w:right w:type="dxa" w:w="135"/>
            </w:tcMar>
          </w:tcPr>
          <w:p>
            <w:r>
              <w:rPr>
                <w:sz w:val="20"/>
                <w:szCs w:val="20"/>
              </w:rPr>
              <w:t xml:space="preserve">The image is serving the API only; the interface will not load.</w:t>
            </w:r>
          </w:p>
        </w:tc>
      </w:tr>
    </w:tbl>
    <w:p>
      <w:pPr>
        <w:spacing w:after="130" w:line="285"/>
      </w:pPr>
      <w:r>
        <w:rPr>
          <w:rFonts w:ascii="Consolas" w:cs="Consolas" w:eastAsia="Consolas" w:hAnsi="Consolas"/>
          <w:color w:val="7B1FA2"/>
          <w:sz w:val="19"/>
          <w:szCs w:val="19"/>
        </w:rPr>
        <w:t xml:space="preserve">/health</w:t>
      </w:r>
      <w:r>
        <w:rPr>
          <w:sz w:val="21"/>
          <w:szCs w:val="21"/>
        </w:rPr>
        <w:t xml:space="preserve"> reads configuration, not the database. It stays green while the database is unreachable, so treat it as a liveness check and not a readiness one.</w:t>
      </w:r>
    </w:p>
    <w:p>
      <w:pPr>
        <w:pStyle w:val="Heading2"/>
        <w:spacing w:after="130" w:before="300"/>
      </w:pPr>
      <w:r>
        <w:rPr>
          <w:b/>
          <w:bCs/>
          <w:color w:val="1F3864"/>
          <w:sz w:val="24"/>
          <w:szCs w:val="24"/>
        </w:rPr>
        <w:t xml:space="preserve">7.2 The real check</w:t>
      </w:r>
    </w:p>
    <w:p>
      <w:pPr>
        <w:spacing w:after="130" w:line="285"/>
      </w:pPr>
      <w:r>
        <w:rPr>
          <w:rFonts w:ascii="Consolas" w:cs="Consolas" w:eastAsia="Consolas" w:hAnsi="Consolas"/>
          <w:color w:val="7B1FA2"/>
          <w:sz w:val="19"/>
          <w:szCs w:val="19"/>
        </w:rPr>
        <w:t xml:space="preserve">/health</w:t>
      </w:r>
      <w:r>
        <w:rPr>
          <w:sz w:val="21"/>
          <w:szCs w:val="21"/>
        </w:rPr>
        <w:t xml:space="preserve"> proves the process is up and nothing more. The supplied smoke script exercises the running service instead:</w:t>
      </w:r>
    </w:p>
    <w:p>
      <w:pPr>
        <w:pBdr>
          <w:left w:val="single" w:color="2E75B6" w:sz="12" w:space="6"/>
        </w:pBdr>
        <w:shd w:fill="F2F2F2" w:val="clear"/>
        <w:spacing w:after="150" w:before="110" w:line="265"/>
        <w:ind w:left="130"/>
      </w:pPr>
      <w:r>
        <w:rPr>
          <w:rFonts w:ascii="Consolas" w:cs="Consolas" w:eastAsia="Consolas" w:hAnsi="Consolas"/>
          <w:sz w:val="18"/>
          <w:szCs w:val="18"/>
        </w:rPr>
        <w:t xml:space="preserve">python3 scripts/smoke_deployed.py --base http://localhost:8000 \</w:t>
      </w:r>
      <w:r>
        <w:br/>
      </w:r>
      <w:r>
        <w:rPr>
          <w:rFonts w:ascii="Consolas" w:cs="Consolas" w:eastAsia="Consolas" w:hAnsi="Consolas"/>
          <w:sz w:val="18"/>
          <w:szCs w:val="18"/>
        </w:rPr>
        <w:t xml:space="preserve">  --write --passphrase 'YOUR_PASSPHRASE'</w:t>
      </w:r>
    </w:p>
    <w:p>
      <w:pPr>
        <w:spacing w:after="130" w:line="285"/>
      </w:pPr>
      <w:r>
        <w:rPr>
          <w:sz w:val="21"/>
          <w:szCs w:val="21"/>
        </w:rPr>
        <w:t xml:space="preserve">It uses only the Python standard library, so it runs on a locked-down host with nothing installed, and exits non-zero on any failure so it can gate a deployment.</w:t>
      </w:r>
    </w:p>
    <w:tbl>
      <w:tblPr>
        <w:tblW w:type="dxa" w:w="9360"/>
        <w:tblBorders>
          <w:top w:val="single" w:color="E8A33D" w:sz="4"/>
          <w:left w:val="single" w:color="E8A33D" w:sz="18"/>
          <w:bottom w:val="single" w:color="E8A33D" w:sz="4"/>
          <w:right w:val="single" w:color="E8A33D" w:sz="4"/>
          <w:insideH w:val="single" w:color="auto" w:sz="4"/>
          <w:insideV w:val="single" w:color="auto" w:sz="4"/>
        </w:tblBorders>
      </w:tblPr>
      <w:tblGrid>
        <w:gridCol w:w="9360"/>
      </w:tblGrid>
      <w:tr>
        <w:tc>
          <w:tcPr>
            <w:tcW w:type="dxa" w:w="9360"/>
            <w:shd w:fill="FFF4E5" w:val="clear"/>
            <w:tcMar>
              <w:top w:type="dxa" w:w="150"/>
              <w:left w:type="dxa" w:w="190"/>
              <w:bottom w:type="dxa" w:w="150"/>
              <w:right w:type="dxa" w:w="190"/>
            </w:tcMar>
          </w:tcPr>
          <w:p>
            <w:pPr>
              <w:spacing w:after="85"/>
            </w:pPr>
            <w:r>
              <w:rPr>
                <w:b/>
                <w:bCs/>
                <w:color w:val="8A5A00"/>
                <w:sz w:val="21"/>
                <w:szCs w:val="21"/>
              </w:rPr>
              <w:t xml:space="preserve">Use --write</w:t>
            </w:r>
          </w:p>
          <w:p>
            <w:pPr>
              <w:spacing w:after="65" w:line="285"/>
            </w:pPr>
            <w:r>
              <w:rPr>
                <w:sz w:val="21"/>
                <w:szCs w:val="21"/>
              </w:rPr>
              <w:t xml:space="preserve">This application degrades to silence rather than erroring, so read-only checks pass against a database that cannot be written to. That is not hypothetical: it is exactly how an entire module was unwritable in the hosted environment while every read-only check reported healthy.</w:t>
            </w:r>
          </w:p>
          <w:p>
            <w:pPr>
              <w:spacing w:after="65" w:line="285"/>
            </w:pPr>
            <w:r>
              <w:rPr>
                <w:sz w:val="21"/>
                <w:szCs w:val="21"/>
              </w:rPr>
              <w:t xml:space="preserve">The write check stores one record and removes it again. A run that is asked for --write and cannot perform one fails rather than skipping.</w:t>
            </w:r>
          </w:p>
        </w:tc>
      </w:tr>
    </w:tbl>
    <w:p>
      <w:pPr>
        <w:pStyle w:val="Heading2"/>
        <w:spacing w:after="130" w:before="300"/>
      </w:pPr>
      <w:r>
        <w:rPr>
          <w:b/>
          <w:bCs/>
          <w:color w:val="1F3864"/>
          <w:sz w:val="24"/>
          <w:szCs w:val="24"/>
        </w:rPr>
        <w:t xml:space="preserve">7.3 What a misconfigured start actually looks like</w:t>
      </w:r>
    </w:p>
    <w:p>
      <w:pPr>
        <w:spacing w:after="130" w:line="285"/>
      </w:pPr>
      <w:r>
        <w:rPr>
          <w:sz w:val="21"/>
          <w:szCs w:val="21"/>
        </w:rPr>
        <w:t xml:space="preserve">Worth seeing once, because none of it is an error message. This is a real run against a container started without a valid database URL, in an environment where the reference code sets had never been loaded:</w:t>
      </w:r>
    </w:p>
    <w:p>
      <w:pPr>
        <w:pBdr>
          <w:left w:val="single" w:color="2E75B6" w:sz="12" w:space="6"/>
        </w:pBdr>
        <w:shd w:fill="F2F2F2" w:val="clear"/>
        <w:spacing w:after="150" w:before="110" w:line="265"/>
        <w:ind w:left="130"/>
      </w:pPr>
      <w:r>
        <w:rPr>
          <w:rFonts w:ascii="Consolas" w:cs="Consolas" w:eastAsia="Consolas" w:hAnsi="Consolas"/>
          <w:sz w:val="18"/>
          <w:szCs w:val="18"/>
        </w:rPr>
        <w:t xml:space="preserve">  ok   running the pinned Python (3.11)</w:t>
      </w:r>
      <w:r>
        <w:br/>
      </w:r>
      <w:r>
        <w:rPr>
          <w:rFonts w:ascii="Consolas" w:cs="Consolas" w:eastAsia="Consolas" w:hAnsi="Consolas"/>
          <w:sz w:val="18"/>
          <w:szCs w:val="18"/>
        </w:rPr>
        <w:t xml:space="preserve">  FAIL talking to PostgreSQL — database reports sqlite</w:t>
      </w:r>
      <w:r>
        <w:br/>
      </w:r>
      <w:r>
        <w:rPr>
          <w:rFonts w:ascii="Consolas" w:cs="Consolas" w:eastAsia="Consolas" w:hAnsi="Consolas"/>
          <w:sz w:val="18"/>
          <w:szCs w:val="18"/>
        </w:rPr>
        <w:t xml:space="preserve">  ok   charts</w:t>
      </w:r>
      <w:r>
        <w:br/>
      </w:r>
      <w:r>
        <w:rPr>
          <w:rFonts w:ascii="Consolas" w:cs="Consolas" w:eastAsia="Consolas" w:hAnsi="Consolas"/>
          <w:sz w:val="18"/>
          <w:szCs w:val="18"/>
        </w:rPr>
        <w:t xml:space="preserve">  ok   practicelab batches</w:t>
      </w:r>
      <w:r>
        <w:br/>
      </w:r>
      <w:r>
        <w:rPr>
          <w:rFonts w:ascii="Consolas" w:cs="Consolas" w:eastAsia="Consolas" w:hAnsi="Consolas"/>
          <w:sz w:val="18"/>
          <w:szCs w:val="18"/>
        </w:rPr>
        <w:t xml:space="preserve">  ok   auditor batches</w:t>
      </w:r>
      <w:r>
        <w:br/>
      </w:r>
      <w:r>
        <w:rPr>
          <w:rFonts w:ascii="Consolas" w:cs="Consolas" w:eastAsia="Consolas" w:hAnsi="Consolas"/>
          <w:sz w:val="18"/>
          <w:szCs w:val="18"/>
        </w:rPr>
        <w:t xml:space="preserve">  FAIL J18.9 has a description — got 200 {'descriptions': {}, ...}</w:t>
      </w:r>
      <w:r>
        <w:br/>
      </w:r>
      <w:r>
        <w:rPr>
          <w:rFonts w:ascii="Consolas" w:cs="Consolas" w:eastAsia="Consolas" w:hAnsi="Consolas"/>
          <w:sz w:val="18"/>
          <w:szCs w:val="18"/>
        </w:rPr>
        <w:t xml:space="preserve"/>
      </w:r>
      <w:r>
        <w:br/>
      </w:r>
      <w:r>
        <w:rPr>
          <w:rFonts w:ascii="Consolas" w:cs="Consolas" w:eastAsia="Consolas" w:hAnsi="Consolas"/>
          <w:sz w:val="18"/>
          <w:szCs w:val="18"/>
        </w:rPr>
        <w:t xml:space="preserve">  12 checks, 2 failed</w:t>
      </w:r>
    </w:p>
    <w:p>
      <w:pPr>
        <w:spacing w:after="130" w:line="285"/>
      </w:pPr>
      <w:r>
        <w:rPr>
          <w:sz w:val="21"/>
          <w:szCs w:val="21"/>
        </w:rPr>
        <w:t xml:space="preserve">Every read path passes. The application is up, serving and answering — while writing to a file it will lose on restart, and rendering every code description as blank. Neither condition surfaces anywhere in the interface.</w:t>
      </w:r>
    </w:p>
    <w:p>
      <w:pPr>
        <w:pStyle w:val="Heading2"/>
        <w:spacing w:after="130" w:before="300"/>
      </w:pPr>
      <w:r>
        <w:rPr>
          <w:b/>
          <w:bCs/>
          <w:color w:val="1F3864"/>
          <w:sz w:val="24"/>
          <w:szCs w:val="24"/>
        </w:rPr>
        <w:t xml:space="preserve">7.4 Then look at it</w:t>
      </w:r>
    </w:p>
    <w:p>
      <w:pPr>
        <w:pStyle w:val="ListParagraph"/>
        <w:numPr>
          <w:ilvl w:val="0"/>
          <w:numId w:val="3"/>
        </w:numPr>
        <w:spacing w:after="85" w:line="285"/>
      </w:pPr>
      <w:r>
        <w:rPr>
          <w:sz w:val="21"/>
          <w:szCs w:val="21"/>
        </w:rPr>
        <w:t xml:space="preserve">Open the address in a browser and confirm the interface loads.</w:t>
      </w:r>
    </w:p>
    <w:p>
      <w:pPr>
        <w:pStyle w:val="ListParagraph"/>
        <w:numPr>
          <w:ilvl w:val="0"/>
          <w:numId w:val="3"/>
        </w:numPr>
        <w:spacing w:after="85" w:line="285"/>
      </w:pPr>
      <w:r>
        <w:rPr>
          <w:sz w:val="21"/>
          <w:szCs w:val="21"/>
        </w:rPr>
        <w:t xml:space="preserve">Open a chart and confirm the page image renders. This is the storage check, and the one most likely to fail.</w:t>
      </w:r>
    </w:p>
    <w:p>
      <w:pPr>
        <w:pStyle w:val="ListParagraph"/>
        <w:numPr>
          <w:ilvl w:val="0"/>
          <w:numId w:val="3"/>
        </w:numPr>
        <w:spacing w:after="85" w:line="285"/>
      </w:pPr>
      <w:r>
        <w:rPr>
          <w:sz w:val="21"/>
          <w:szCs w:val="21"/>
        </w:rPr>
        <w:t xml:space="preserve">Open an existing batch and confirm results and scores display.</w:t>
      </w:r>
    </w:p>
    <w:p>
      <w:pPr>
        <w:pStyle w:val="ListParagraph"/>
        <w:numPr>
          <w:ilvl w:val="0"/>
          <w:numId w:val="3"/>
        </w:numPr>
        <w:spacing w:after="85" w:line="285"/>
      </w:pPr>
      <w:r>
        <w:rPr>
          <w:sz w:val="21"/>
          <w:szCs w:val="21"/>
        </w:rPr>
        <w:t xml:space="preserve">Open Analytics and confirm the figures match the source environment.</w:t>
      </w:r>
    </w:p>
    <w:p>
      <w:r>
        <w:br w:type="page"/>
      </w:r>
    </w:p>
    <w:p>
      <w:pPr>
        <w:pStyle w:val="Heading1"/>
        <w:spacing w:after="170" w:before="400"/>
      </w:pPr>
      <w:r>
        <w:rPr>
          <w:b/>
          <w:bCs/>
          <w:color w:val="1F3864"/>
          <w:sz w:val="30"/>
          <w:szCs w:val="30"/>
        </w:rPr>
        <w:t xml:space="preserve">8. Deploying a new version</w:t>
      </w:r>
    </w:p>
    <w:p>
      <w:pPr>
        <w:spacing w:after="130" w:line="285"/>
      </w:pPr>
      <w:r>
        <w:rPr>
          <w:sz w:val="21"/>
          <w:szCs w:val="21"/>
        </w:rPr>
        <w:t xml:space="preserve">The routine for every subsequent release:</w:t>
      </w:r>
    </w:p>
    <w:p>
      <w:pPr>
        <w:pBdr>
          <w:left w:val="single" w:color="2E75B6" w:sz="12" w:space="6"/>
        </w:pBdr>
        <w:shd w:fill="F2F2F2" w:val="clear"/>
        <w:spacing w:after="150" w:before="110" w:line="265"/>
        <w:ind w:left="130"/>
      </w:pPr>
      <w:r>
        <w:rPr>
          <w:rFonts w:ascii="Consolas" w:cs="Consolas" w:eastAsia="Consolas" w:hAnsi="Consolas"/>
          <w:sz w:val="18"/>
          <w:szCs w:val="18"/>
        </w:rPr>
        <w:t xml:space="preserve">docker build --platform linux/amd64 \</w:t>
      </w:r>
      <w:r>
        <w:br/>
      </w:r>
      <w:r>
        <w:rPr>
          <w:rFonts w:ascii="Consolas" w:cs="Consolas" w:eastAsia="Consolas" w:hAnsi="Consolas"/>
          <w:sz w:val="18"/>
          <w:szCs w:val="18"/>
        </w:rPr>
        <w:t xml:space="preserve">  --build-arg BUILD_REF=$(git rev-parse --short HEAD) \</w:t>
      </w:r>
      <w:r>
        <w:br/>
      </w:r>
      <w:r>
        <w:rPr>
          <w:rFonts w:ascii="Consolas" w:cs="Consolas" w:eastAsia="Consolas" w:hAnsi="Consolas"/>
          <w:sz w:val="18"/>
          <w:szCs w:val="18"/>
        </w:rPr>
        <w:t xml:space="preserve">  -t practicelab:1.1 .</w:t>
      </w:r>
      <w:r>
        <w:br/>
      </w:r>
      <w:r>
        <w:rPr>
          <w:rFonts w:ascii="Consolas" w:cs="Consolas" w:eastAsia="Consolas" w:hAnsi="Consolas"/>
          <w:sz w:val="18"/>
          <w:szCs w:val="18"/>
        </w:rPr>
        <w:t xml:space="preserve">docker stop practicelab &amp;&amp; docker rm practicelab</w:t>
      </w:r>
      <w:r>
        <w:br/>
      </w:r>
      <w:r>
        <w:rPr>
          <w:rFonts w:ascii="Consolas" w:cs="Consolas" w:eastAsia="Consolas" w:hAnsi="Consolas"/>
          <w:sz w:val="18"/>
          <w:szCs w:val="18"/>
        </w:rPr>
        <w:t xml:space="preserve">docker run -d --name practicelab -p 8000:8000 \</w:t>
      </w:r>
      <w:r>
        <w:br/>
      </w:r>
      <w:r>
        <w:rPr>
          <w:rFonts w:ascii="Consolas" w:cs="Consolas" w:eastAsia="Consolas" w:hAnsi="Consolas"/>
          <w:sz w:val="18"/>
          <w:szCs w:val="18"/>
        </w:rPr>
        <w:t xml:space="preserve">  --env-file /etc/practicelab/practicelab.env \</w:t>
      </w:r>
      <w:r>
        <w:br/>
      </w:r>
      <w:r>
        <w:rPr>
          <w:rFonts w:ascii="Consolas" w:cs="Consolas" w:eastAsia="Consolas" w:hAnsi="Consolas"/>
          <w:sz w:val="18"/>
          <w:szCs w:val="18"/>
        </w:rPr>
        <w:t xml:space="preserve">  --restart unless-stopped practicelab:1.1</w:t>
      </w:r>
      <w:r>
        <w:br/>
      </w:r>
      <w:r>
        <w:rPr>
          <w:rFonts w:ascii="Consolas" w:cs="Consolas" w:eastAsia="Consolas" w:hAnsi="Consolas"/>
          <w:sz w:val="18"/>
          <w:szCs w:val="18"/>
        </w:rPr>
        <w:t xml:space="preserve">curl -s http://localhost:8000/health</w:t>
      </w:r>
    </w:p>
    <w:p>
      <w:pPr>
        <w:spacing w:after="130" w:line="285"/>
      </w:pPr>
      <w:r>
        <w:rPr>
          <w:sz w:val="21"/>
          <w:szCs w:val="21"/>
        </w:rPr>
        <w:t xml:space="preserve">Confirm the </w:t>
      </w:r>
      <w:r>
        <w:rPr>
          <w:rFonts w:ascii="Consolas" w:cs="Consolas" w:eastAsia="Consolas" w:hAnsi="Consolas"/>
          <w:color w:val="7B1FA2"/>
          <w:sz w:val="19"/>
          <w:szCs w:val="19"/>
        </w:rPr>
        <w:t xml:space="preserve">build</w:t>
      </w:r>
      <w:r>
        <w:rPr>
          <w:sz w:val="21"/>
          <w:szCs w:val="21"/>
        </w:rPr>
        <w:t xml:space="preserve"> field reports the version you just deployed. There is no database step: schema changes travel inside the image and apply themselves at startup.</w:t>
      </w:r>
    </w:p>
    <w:p>
      <w:pPr>
        <w:pStyle w:val="Heading2"/>
        <w:spacing w:after="130" w:before="300"/>
      </w:pPr>
      <w:r>
        <w:rPr>
          <w:b/>
          <w:bCs/>
          <w:color w:val="1F3864"/>
          <w:sz w:val="24"/>
          <w:szCs w:val="24"/>
        </w:rPr>
        <w:t xml:space="preserve">8.1 Rolling back</w:t>
      </w:r>
    </w:p>
    <w:p>
      <w:pPr>
        <w:spacing w:after="130" w:line="285"/>
      </w:pPr>
      <w:r>
        <w:rPr>
          <w:sz w:val="21"/>
          <w:szCs w:val="21"/>
        </w:rPr>
        <w:t xml:space="preserve">Run the previous image tag. Because migrations only add and never remove, the older application will normally run against the newer schema — but validate rather than assume, and keep the previous tag until the new one has been accepted.</w:t>
      </w:r>
    </w:p>
    <w:p>
      <w:r>
        <w:br w:type="page"/>
      </w:r>
    </w:p>
    <w:p>
      <w:pPr>
        <w:pStyle w:val="Heading1"/>
        <w:spacing w:after="170" w:before="400"/>
      </w:pPr>
      <w:r>
        <w:rPr>
          <w:b/>
          <w:bCs/>
          <w:color w:val="1F3864"/>
          <w:sz w:val="30"/>
          <w:szCs w:val="30"/>
        </w:rPr>
        <w:t xml:space="preserve">9. Reference code sets</w:t>
      </w:r>
    </w:p>
    <w:p>
      <w:pPr>
        <w:spacing w:after="130" w:line="285"/>
      </w:pPr>
      <w:r>
        <w:rPr>
          <w:sz w:val="21"/>
          <w:szCs w:val="21"/>
        </w:rPr>
        <w:t xml:space="preserve">ICD-10-CM, ICD-10-PCS, HCPCS Level II and the MS-DRG CC/MCC list — roughly 186,000 rows — are loaded by hand, once, per environment:</w:t>
      </w:r>
    </w:p>
    <w:p>
      <w:pPr>
        <w:pBdr>
          <w:left w:val="single" w:color="2E75B6" w:sz="12" w:space="6"/>
        </w:pBdr>
        <w:shd w:fill="F2F2F2" w:val="clear"/>
        <w:spacing w:after="150" w:before="110" w:line="265"/>
        <w:ind w:left="130"/>
      </w:pPr>
      <w:r>
        <w:rPr>
          <w:rFonts w:ascii="Consolas" w:cs="Consolas" w:eastAsia="Consolas" w:hAnsi="Consolas"/>
          <w:sz w:val="18"/>
          <w:szCs w:val="18"/>
        </w:rPr>
        <w:t xml:space="preserve">python3 scripts/ingest_code_sets.py --write</w:t>
      </w:r>
    </w:p>
    <w:p>
      <w:pPr>
        <w:spacing w:after="130" w:line="285"/>
      </w:pPr>
      <w:r>
        <w:rPr>
          <w:sz w:val="21"/>
          <w:szCs w:val="21"/>
        </w:rPr>
        <w:t xml:space="preserve">Nothing calls this automatically, and deliberately so: it downloads several megabytes from cms.gov, and attaching that to startup would make every deployment slow and a CMS outage a failed start.</w:t>
      </w:r>
    </w:p>
    <w:p>
      <w:pPr>
        <w:spacing w:after="130" w:line="285"/>
      </w:pPr>
      <w:r>
        <w:rPr>
          <w:sz w:val="21"/>
          <w:szCs w:val="21"/>
        </w:rPr>
        <w:t xml:space="preserve">Everything that reads this data degrades to silence, so an environment where it was never loaded is indistinguishable from one where the feature does not exist. </w:t>
      </w:r>
      <w:r>
        <w:rPr>
          <w:rFonts w:ascii="Consolas" w:cs="Consolas" w:eastAsia="Consolas" w:hAnsi="Consolas"/>
          <w:color w:val="7B1FA2"/>
          <w:sz w:val="19"/>
          <w:szCs w:val="19"/>
        </w:rPr>
        <w:t xml:space="preserve">GET /codes/status</w:t>
      </w:r>
      <w:r>
        <w:rPr>
          <w:sz w:val="21"/>
          <w:szCs w:val="21"/>
        </w:rPr>
        <w:t xml:space="preserve"> reports what is present. Use </w:t>
      </w:r>
      <w:r>
        <w:rPr>
          <w:rFonts w:ascii="Consolas" w:cs="Consolas" w:eastAsia="Consolas" w:hAnsi="Consolas"/>
          <w:color w:val="7B1FA2"/>
          <w:sz w:val="19"/>
          <w:szCs w:val="19"/>
        </w:rPr>
        <w:t xml:space="preserve">--from-dir</w:t>
      </w:r>
      <w:r>
        <w:rPr>
          <w:sz w:val="21"/>
          <w:szCs w:val="21"/>
        </w:rPr>
        <w:t xml:space="preserve"> to load from local files where there is no route to cms.gov.</w:t>
      </w:r>
    </w:p>
    <w:p>
      <w:pPr>
        <w:pStyle w:val="Heading1"/>
        <w:spacing w:after="170" w:before="400"/>
      </w:pPr>
      <w:r>
        <w:rPr>
          <w:b/>
          <w:bCs/>
          <w:color w:val="1F3864"/>
          <w:sz w:val="30"/>
          <w:szCs w:val="30"/>
        </w:rPr>
        <w:t xml:space="preserve">10. Troubleshooting</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000"/>
        <w:gridCol w:w="6360"/>
      </w:tblGrid>
      <w:tr>
        <w:trPr>
          <w:tblHeader/>
        </w:trPr>
        <w:tc>
          <w:tcPr>
            <w:tcW w:type="dxa" w:w="3000"/>
            <w:shd w:fill="DCE6F1" w:val="clear"/>
            <w:tcMar>
              <w:top w:type="dxa" w:w="95"/>
              <w:left w:type="dxa" w:w="135"/>
              <w:bottom w:type="dxa" w:w="95"/>
              <w:right w:type="dxa" w:w="135"/>
            </w:tcMar>
          </w:tcPr>
          <w:p>
            <w:r>
              <w:rPr>
                <w:b/>
                <w:bCs/>
                <w:color w:val="1F3864"/>
                <w:sz w:val="20"/>
                <w:szCs w:val="20"/>
              </w:rPr>
              <w:t xml:space="preserve">Symptom</w:t>
            </w:r>
          </w:p>
        </w:tc>
        <w:tc>
          <w:tcPr>
            <w:tcW w:type="dxa" w:w="6360"/>
            <w:shd w:fill="DCE6F1" w:val="clear"/>
            <w:tcMar>
              <w:top w:type="dxa" w:w="95"/>
              <w:left w:type="dxa" w:w="135"/>
              <w:bottom w:type="dxa" w:w="95"/>
              <w:right w:type="dxa" w:w="135"/>
            </w:tcMar>
          </w:tcPr>
          <w:p>
            <w:r>
              <w:rPr>
                <w:b/>
                <w:bCs/>
                <w:color w:val="1F3864"/>
                <w:sz w:val="20"/>
                <w:szCs w:val="20"/>
              </w:rPr>
              <w:t xml:space="preserve">Cause and remedy</w:t>
            </w:r>
          </w:p>
        </w:tc>
      </w:tr>
      <w:tr>
        <w:tc>
          <w:tcPr>
            <w:tcW w:type="dxa" w:w="3000"/>
            <w:tcMar>
              <w:top w:type="dxa" w:w="95"/>
              <w:left w:type="dxa" w:w="135"/>
              <w:bottom w:type="dxa" w:w="95"/>
              <w:right w:type="dxa" w:w="135"/>
            </w:tcMar>
          </w:tcPr>
          <w:p>
            <w:r>
              <w:rPr>
                <w:sz w:val="20"/>
                <w:szCs w:val="20"/>
              </w:rPr>
              <w:t xml:space="preserve">Container exits immediately at start</w:t>
            </w:r>
          </w:p>
        </w:tc>
        <w:tc>
          <w:tcPr>
            <w:tcW w:type="dxa" w:w="6360"/>
            <w:tcMar>
              <w:top w:type="dxa" w:w="95"/>
              <w:left w:type="dxa" w:w="135"/>
              <w:bottom w:type="dxa" w:w="95"/>
              <w:right w:type="dxa" w:w="135"/>
            </w:tcMar>
          </w:tcPr>
          <w:p>
            <w:r>
              <w:rPr>
                <w:sz w:val="20"/>
                <w:szCs w:val="20"/>
              </w:rPr>
              <w:t xml:space="preserve">One of the six required environment variables is missing. The log names it. This is intended behaviour, not a fault.</w:t>
            </w:r>
          </w:p>
        </w:tc>
      </w:tr>
      <w:tr>
        <w:tc>
          <w:tcPr>
            <w:tcW w:type="dxa" w:w="3000"/>
            <w:tcMar>
              <w:top w:type="dxa" w:w="95"/>
              <w:left w:type="dxa" w:w="135"/>
              <w:bottom w:type="dxa" w:w="95"/>
              <w:right w:type="dxa" w:w="135"/>
            </w:tcMar>
          </w:tcPr>
          <w:p>
            <w:r>
              <w:rPr>
                <w:rFonts w:ascii="Consolas" w:cs="Consolas" w:eastAsia="Consolas" w:hAnsi="Consolas"/>
                <w:sz w:val="18"/>
                <w:szCs w:val="18"/>
              </w:rPr>
              <w:t xml:space="preserve">/health</w:t>
            </w:r>
            <w:r>
              <w:rPr>
                <w:sz w:val="20"/>
                <w:szCs w:val="20"/>
              </w:rPr>
              <w:t xml:space="preserve"> reports </w:t>
            </w:r>
            <w:r>
              <w:rPr>
                <w:rFonts w:ascii="Consolas" w:cs="Consolas" w:eastAsia="Consolas" w:hAnsi="Consolas"/>
                <w:sz w:val="18"/>
                <w:szCs w:val="18"/>
              </w:rPr>
              <w:t xml:space="preserve">database: sqlite</w:t>
            </w:r>
          </w:p>
        </w:tc>
        <w:tc>
          <w:tcPr>
            <w:tcW w:type="dxa" w:w="6360"/>
            <w:tcMar>
              <w:top w:type="dxa" w:w="95"/>
              <w:left w:type="dxa" w:w="135"/>
              <w:bottom w:type="dxa" w:w="95"/>
              <w:right w:type="dxa" w:w="135"/>
            </w:tcMar>
          </w:tcPr>
          <w:p>
            <w:r>
              <w:rPr>
                <w:rFonts w:ascii="Consolas" w:cs="Consolas" w:eastAsia="Consolas" w:hAnsi="Consolas"/>
                <w:sz w:val="18"/>
                <w:szCs w:val="18"/>
              </w:rPr>
              <w:t xml:space="preserve">DATABASE_URL</w:t>
            </w:r>
            <w:r>
              <w:rPr>
                <w:sz w:val="20"/>
                <w:szCs w:val="20"/>
              </w:rPr>
              <w:t xml:space="preserve"> did not reach the container. Data written since it started is in a temporary file and will be lost.</w:t>
            </w:r>
          </w:p>
        </w:tc>
      </w:tr>
      <w:tr>
        <w:tc>
          <w:tcPr>
            <w:tcW w:type="dxa" w:w="3000"/>
            <w:tcMar>
              <w:top w:type="dxa" w:w="95"/>
              <w:left w:type="dxa" w:w="135"/>
              <w:bottom w:type="dxa" w:w="95"/>
              <w:right w:type="dxa" w:w="135"/>
            </w:tcMar>
          </w:tcPr>
          <w:p>
            <w:r>
              <w:rPr>
                <w:sz w:val="20"/>
                <w:szCs w:val="20"/>
              </w:rPr>
              <w:t xml:space="preserve">Interface loads but every chart image is broken</w:t>
            </w:r>
          </w:p>
        </w:tc>
        <w:tc>
          <w:tcPr>
            <w:tcW w:type="dxa" w:w="6360"/>
            <w:tcMar>
              <w:top w:type="dxa" w:w="95"/>
              <w:left w:type="dxa" w:w="135"/>
              <w:bottom w:type="dxa" w:w="95"/>
              <w:right w:type="dxa" w:w="135"/>
            </w:tcMar>
          </w:tcPr>
          <w:p>
            <w:r>
              <w:rPr>
                <w:sz w:val="20"/>
                <w:szCs w:val="20"/>
              </w:rPr>
              <w:t xml:space="preserve">Object storage credentials are wrong, or the keys were altered during transfer. Object keys must be preserved exactly; a transfer that adds a prefix breaks every chart with no error.</w:t>
            </w:r>
          </w:p>
        </w:tc>
      </w:tr>
      <w:tr>
        <w:tc>
          <w:tcPr>
            <w:tcW w:type="dxa" w:w="3000"/>
            <w:tcMar>
              <w:top w:type="dxa" w:w="95"/>
              <w:left w:type="dxa" w:w="135"/>
              <w:bottom w:type="dxa" w:w="95"/>
              <w:right w:type="dxa" w:w="135"/>
            </w:tcMar>
          </w:tcPr>
          <w:p>
            <w:r>
              <w:rPr>
                <w:sz w:val="20"/>
                <w:szCs w:val="20"/>
              </w:rPr>
              <w:t xml:space="preserve">Restore fails on duplicate keys</w:t>
            </w:r>
          </w:p>
        </w:tc>
        <w:tc>
          <w:tcPr>
            <w:tcW w:type="dxa" w:w="6360"/>
            <w:tcMar>
              <w:top w:type="dxa" w:w="95"/>
              <w:left w:type="dxa" w:w="135"/>
              <w:bottom w:type="dxa" w:w="95"/>
              <w:right w:type="dxa" w:w="135"/>
            </w:tcMar>
          </w:tcPr>
          <w:p>
            <w:r>
              <w:rPr>
                <w:sz w:val="20"/>
                <w:szCs w:val="20"/>
              </w:rPr>
              <w:t xml:space="preserve">The container was started before the restore and seeded sample questions. Drop and recreate the database, then restore, then start.</w:t>
            </w:r>
          </w:p>
        </w:tc>
      </w:tr>
      <w:tr>
        <w:tc>
          <w:tcPr>
            <w:tcW w:type="dxa" w:w="3000"/>
            <w:tcMar>
              <w:top w:type="dxa" w:w="95"/>
              <w:left w:type="dxa" w:w="135"/>
              <w:bottom w:type="dxa" w:w="95"/>
              <w:right w:type="dxa" w:w="135"/>
            </w:tcMar>
          </w:tcPr>
          <w:p>
            <w:r>
              <w:rPr>
                <w:sz w:val="20"/>
                <w:szCs w:val="20"/>
              </w:rPr>
              <w:t xml:space="preserve">Code descriptions render blank everywhere</w:t>
            </w:r>
          </w:p>
        </w:tc>
        <w:tc>
          <w:tcPr>
            <w:tcW w:type="dxa" w:w="6360"/>
            <w:tcMar>
              <w:top w:type="dxa" w:w="95"/>
              <w:left w:type="dxa" w:w="135"/>
              <w:bottom w:type="dxa" w:w="95"/>
              <w:right w:type="dxa" w:w="135"/>
            </w:tcMar>
          </w:tcPr>
          <w:p>
            <w:r>
              <w:rPr>
                <w:sz w:val="20"/>
                <w:szCs w:val="20"/>
              </w:rPr>
              <w:t xml:space="preserve">The reference code sets were never ingested in this environment. See section 9.</w:t>
            </w:r>
          </w:p>
        </w:tc>
      </w:tr>
      <w:tr>
        <w:tc>
          <w:tcPr>
            <w:tcW w:type="dxa" w:w="3000"/>
            <w:tcMar>
              <w:top w:type="dxa" w:w="95"/>
              <w:left w:type="dxa" w:w="135"/>
              <w:bottom w:type="dxa" w:w="95"/>
              <w:right w:type="dxa" w:w="135"/>
            </w:tcMar>
          </w:tcPr>
          <w:p>
            <w:r>
              <w:rPr>
                <w:rFonts w:ascii="Consolas" w:cs="Consolas" w:eastAsia="Consolas" w:hAnsi="Consolas"/>
                <w:sz w:val="18"/>
                <w:szCs w:val="18"/>
              </w:rPr>
              <w:t xml:space="preserve">Migration DDL failed</w:t>
            </w:r>
            <w:r>
              <w:rPr>
                <w:sz w:val="20"/>
                <w:szCs w:val="20"/>
              </w:rPr>
              <w:t xml:space="preserve"> in the logs</w:t>
            </w:r>
          </w:p>
        </w:tc>
        <w:tc>
          <w:tcPr>
            <w:tcW w:type="dxa" w:w="6360"/>
            <w:tcMar>
              <w:top w:type="dxa" w:w="95"/>
              <w:left w:type="dxa" w:w="135"/>
              <w:bottom w:type="dxa" w:w="95"/>
              <w:right w:type="dxa" w:w="135"/>
            </w:tcMar>
          </w:tcPr>
          <w:p>
            <w:r>
              <w:rPr>
                <w:sz w:val="20"/>
                <w:szCs w:val="20"/>
              </w:rPr>
              <w:t xml:space="preserve">A schema migration did not apply. Startup continued regardless, so the application is running against an incomplete schema. Investigate before accepting the environment.</w:t>
            </w:r>
          </w:p>
        </w:tc>
      </w:tr>
      <w:tr>
        <w:tc>
          <w:tcPr>
            <w:tcW w:type="dxa" w:w="3000"/>
            <w:tcMar>
              <w:top w:type="dxa" w:w="95"/>
              <w:left w:type="dxa" w:w="135"/>
              <w:bottom w:type="dxa" w:w="95"/>
              <w:right w:type="dxa" w:w="135"/>
            </w:tcMar>
          </w:tcPr>
          <w:p>
            <w:r>
              <w:rPr>
                <w:sz w:val="20"/>
                <w:szCs w:val="20"/>
              </w:rPr>
              <w:t xml:space="preserve">Image will not start on the server</w:t>
            </w:r>
          </w:p>
        </w:tc>
        <w:tc>
          <w:tcPr>
            <w:tcW w:type="dxa" w:w="6360"/>
            <w:tcMar>
              <w:top w:type="dxa" w:w="95"/>
              <w:left w:type="dxa" w:w="135"/>
              <w:bottom w:type="dxa" w:w="95"/>
              <w:right w:type="dxa" w:w="135"/>
            </w:tcMar>
          </w:tcPr>
          <w:p>
            <w:r>
              <w:rPr>
                <w:sz w:val="20"/>
                <w:szCs w:val="20"/>
              </w:rPr>
              <w:t xml:space="preserve">Built for the wrong architecture. Rebuild with --platform linux/amd64.</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PracticeLab — Container Deployment Guide   |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30"/>
      </w:pPr>
    </w:lvl>
    <w:lvl w:ilvl="1" w15:tentative="1">
      <w:start w:val="1"/>
      <w:numFmt w:val="bullet"/>
      <w:lvlText w:val="◦"/>
      <w:lvlJc w:val="left"/>
      <w:pPr>
        <w:ind w:left="740" w:hanging="230"/>
      </w:pPr>
    </w:lvl>
  </w:abstractNum>
  <w:abstractNum w:abstractNumId="3" w15:restartNumberingAfterBreak="0">
    <w:multiLevelType w:val="hybridMultilevel"/>
    <w:lvl w:ilvl="0" w15:tentative="1">
      <w:start w:val="1"/>
      <w:numFmt w:val="decimal"/>
      <w:lvlText w:val="%1."/>
      <w:lvlJc w:val="left"/>
      <w:pPr>
        <w:ind w:left="38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PracticeLab — Container Deployment Guide</dc:title>
  <dc:creator>PracticeLab</dc:creator>
  <dc:description>Building, configuring, running and verifying the container image</dc:description>
  <cp:lastModifiedBy>Un-named</cp:lastModifiedBy>
  <cp:revision>1</cp:revision>
  <dcterms:created xsi:type="dcterms:W3CDTF">2026-08-24T11:39:59.093Z</dcterms:created>
  <dcterms:modified xsi:type="dcterms:W3CDTF">2026-08-24T11:39:59.094Z</dcterms:modified>
</cp:coreProperties>
</file>

<file path=docProps/custom.xml><?xml version="1.0" encoding="utf-8"?>
<Properties xmlns="http://schemas.openxmlformats.org/officeDocument/2006/custom-properties" xmlns:vt="http://schemas.openxmlformats.org/officeDocument/2006/docPropsVTypes"/>
</file>