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00"/>
        <w:jc w:val="center"/>
      </w:pPr>
      <w:r>
        <w:rPr>
          <w:b/>
          <w:bCs/>
          <w:color w:val="1F3864"/>
          <w:sz w:val="56"/>
          <w:szCs w:val="56"/>
        </w:rPr>
        <w:t xml:space="preserve">PracticeLab</w:t>
      </w:r>
    </w:p>
    <w:p>
      <w:pPr>
        <w:spacing w:after="300"/>
        <w:jc w:val="center"/>
      </w:pPr>
      <w:r>
        <w:rPr>
          <w:color w:val="2E75B6"/>
          <w:sz w:val="34"/>
          <w:szCs w:val="34"/>
        </w:rPr>
        <w:t xml:space="preserve">Database &amp; Storage Handover</w:t>
      </w:r>
    </w:p>
    <w:p>
      <w:pPr>
        <w:pBdr>
          <w:top w:val="single" w:color="BFBFBF" w:sz="6"/>
        </w:pBdr>
        <w:spacing w:after="60"/>
        <w:jc w:val="center"/>
      </w:pPr>
      <w:r>
        <w:t xml:space="preserve"/>
      </w:r>
    </w:p>
    <w:p>
      <w:pPr>
        <w:spacing w:after="80" w:before="200"/>
        <w:jc w:val="center"/>
      </w:pPr>
      <w:r>
        <w:rPr>
          <w:i/>
          <w:iCs/>
          <w:color w:val="595959"/>
          <w:sz w:val="22"/>
          <w:szCs w:val="22"/>
        </w:rPr>
        <w:t xml:space="preserve">Migration runbook and data storage model</w:t>
      </w:r>
    </w:p>
    <w:p>
      <w:pPr>
        <w:spacing w:after="80"/>
        <w:jc w:val="center"/>
      </w:pPr>
      <w:r>
        <w:rPr>
          <w:color w:val="595959"/>
          <w:sz w:val="20"/>
          <w:szCs w:val="20"/>
        </w:rPr>
        <w:t xml:space="preserve">For the receiving infrastructure and database team</w:t>
      </w:r>
    </w:p>
    <w:p>
      <w:pPr>
        <w:spacing w:before="600"/>
        <w:jc w:val="center"/>
      </w:pPr>
      <w:r>
        <w:rPr>
          <w:color w:val="595959"/>
          <w:sz w:val="19"/>
          <w:szCs w:val="19"/>
        </w:rPr>
        <w:t xml:space="preserve">Prepared 12 August 2026</w:t>
      </w:r>
    </w:p>
    <w:p>
      <w:r>
        <w:br w:type="page"/>
      </w:r>
    </w:p>
    <w:p>
      <w:pPr>
        <w:pStyle w:val="Heading1"/>
        <w:spacing w:after="160" w:before="360"/>
      </w:pPr>
      <w:r>
        <w:rPr>
          <w:b/>
          <w:bCs/>
          <w:color w:val="1F3864"/>
          <w:sz w:val="30"/>
          <w:szCs w:val="30"/>
        </w:rPr>
        <w:t xml:space="preserve">Contents</w:t>
      </w:r>
    </w:p>
    <w:p>
      <w:pPr>
        <w:spacing w:after="60" w:before="140"/>
        <w:ind w:left="0"/>
      </w:pPr>
      <w:r>
        <w:rPr>
          <w:b/>
          <w:bCs/>
          <w:color w:val="1F3864"/>
          <w:sz w:val="22"/>
          <w:szCs w:val="22"/>
        </w:rPr>
        <w:t xml:space="preserve">1.  </w:t>
      </w:r>
      <w:r>
        <w:rPr>
          <w:b/>
          <w:bCs/>
          <w:color w:val="1F3864"/>
          <w:sz w:val="22"/>
          <w:szCs w:val="22"/>
        </w:rPr>
        <w:t xml:space="preserve">How the application is put together</w:t>
      </w:r>
    </w:p>
    <w:p>
      <w:pPr>
        <w:spacing w:after="40" w:before="0"/>
        <w:ind w:left="400"/>
      </w:pPr>
      <w:r>
        <w:rPr>
          <w:b w:val="false"/>
          <w:bCs w:val="false"/>
          <w:color w:val="595959"/>
          <w:sz w:val="20"/>
          <w:szCs w:val="20"/>
        </w:rPr>
        <w:t xml:space="preserve">1.1  </w:t>
      </w:r>
      <w:r>
        <w:rPr>
          <w:b w:val="false"/>
          <w:bCs w:val="false"/>
          <w:color w:val="404040"/>
          <w:sz w:val="20"/>
          <w:szCs w:val="20"/>
        </w:rPr>
        <w:t xml:space="preserve">There is one backend, not two</w:t>
      </w:r>
    </w:p>
    <w:p>
      <w:pPr>
        <w:spacing w:after="40" w:before="0"/>
        <w:ind w:left="400"/>
      </w:pPr>
      <w:r>
        <w:rPr>
          <w:b w:val="false"/>
          <w:bCs w:val="false"/>
          <w:color w:val="595959"/>
          <w:sz w:val="20"/>
          <w:szCs w:val="20"/>
        </w:rPr>
        <w:t xml:space="preserve">1.2  </w:t>
      </w:r>
      <w:r>
        <w:rPr>
          <w:b w:val="false"/>
          <w:bCs w:val="false"/>
          <w:color w:val="404040"/>
          <w:sz w:val="20"/>
          <w:szCs w:val="20"/>
        </w:rPr>
        <w:t xml:space="preserve">The fourth piece, which is not in that dashboard</w:t>
      </w:r>
    </w:p>
    <w:p>
      <w:pPr>
        <w:spacing w:after="40" w:before="0"/>
        <w:ind w:left="400"/>
      </w:pPr>
      <w:r>
        <w:rPr>
          <w:b w:val="false"/>
          <w:bCs w:val="false"/>
          <w:color w:val="595959"/>
          <w:sz w:val="20"/>
          <w:szCs w:val="20"/>
        </w:rPr>
        <w:t xml:space="preserve">1.3  </w:t>
      </w:r>
      <w:r>
        <w:rPr>
          <w:b w:val="false"/>
          <w:bCs w:val="false"/>
          <w:color w:val="404040"/>
          <w:sz w:val="20"/>
          <w:szCs w:val="20"/>
        </w:rPr>
        <w:t xml:space="preserve">The whole picture in one page</w:t>
      </w:r>
    </w:p>
    <w:p>
      <w:pPr>
        <w:spacing w:after="60" w:before="140"/>
        <w:ind w:left="0"/>
      </w:pPr>
      <w:r>
        <w:rPr>
          <w:b/>
          <w:bCs/>
          <w:color w:val="1F3864"/>
          <w:sz w:val="22"/>
          <w:szCs w:val="22"/>
        </w:rPr>
        <w:t xml:space="preserve">2.  </w:t>
      </w:r>
      <w:r>
        <w:rPr>
          <w:b/>
          <w:bCs/>
          <w:color w:val="1F3864"/>
          <w:sz w:val="22"/>
          <w:szCs w:val="22"/>
        </w:rPr>
        <w:t xml:space="preserve">Where the data lives</w:t>
      </w:r>
    </w:p>
    <w:p>
      <w:pPr>
        <w:spacing w:after="40" w:before="0"/>
        <w:ind w:left="400"/>
      </w:pPr>
      <w:r>
        <w:rPr>
          <w:b w:val="false"/>
          <w:bCs w:val="false"/>
          <w:color w:val="595959"/>
          <w:sz w:val="20"/>
          <w:szCs w:val="20"/>
        </w:rPr>
        <w:t xml:space="preserve">2.1  </w:t>
      </w:r>
      <w:r>
        <w:rPr>
          <w:b w:val="false"/>
          <w:bCs w:val="false"/>
          <w:color w:val="404040"/>
          <w:sz w:val="20"/>
          <w:szCs w:val="20"/>
        </w:rPr>
        <w:t xml:space="preserve">Charts — upload, storage keys, presigned URLs</w:t>
      </w:r>
    </w:p>
    <w:p>
      <w:pPr>
        <w:spacing w:after="40" w:before="0"/>
        <w:ind w:left="400"/>
      </w:pPr>
      <w:r>
        <w:rPr>
          <w:b w:val="false"/>
          <w:bCs w:val="false"/>
          <w:color w:val="595959"/>
          <w:sz w:val="20"/>
          <w:szCs w:val="20"/>
        </w:rPr>
        <w:t xml:space="preserve">2.2  </w:t>
      </w:r>
      <w:r>
        <w:rPr>
          <w:b w:val="false"/>
          <w:bCs w:val="false"/>
          <w:color w:val="404040"/>
          <w:sz w:val="20"/>
          <w:szCs w:val="20"/>
        </w:rPr>
        <w:t xml:space="preserve">Answer keys and other spreadsheet inputs</w:t>
      </w:r>
    </w:p>
    <w:p>
      <w:pPr>
        <w:spacing w:after="40" w:before="0"/>
        <w:ind w:left="400"/>
      </w:pPr>
      <w:r>
        <w:rPr>
          <w:b w:val="false"/>
          <w:bCs w:val="false"/>
          <w:color w:val="595959"/>
          <w:sz w:val="20"/>
          <w:szCs w:val="20"/>
        </w:rPr>
        <w:t xml:space="preserve">2.3  </w:t>
      </w:r>
      <w:r>
        <w:rPr>
          <w:b w:val="false"/>
          <w:bCs w:val="false"/>
          <w:color w:val="404040"/>
          <w:sz w:val="20"/>
          <w:szCs w:val="20"/>
        </w:rPr>
        <w:t xml:space="preserve">The storage provider: Cloudflare R2</w:t>
      </w:r>
    </w:p>
    <w:p>
      <w:pPr>
        <w:spacing w:after="40" w:before="0"/>
        <w:ind w:left="400"/>
      </w:pPr>
      <w:r>
        <w:rPr>
          <w:b w:val="false"/>
          <w:bCs w:val="false"/>
          <w:color w:val="595959"/>
          <w:sz w:val="20"/>
          <w:szCs w:val="20"/>
        </w:rPr>
        <w:t xml:space="preserve">2.4  </w:t>
      </w:r>
      <w:r>
        <w:rPr>
          <w:b w:val="false"/>
          <w:bCs w:val="false"/>
          <w:color w:val="404040"/>
          <w:sz w:val="20"/>
          <w:szCs w:val="20"/>
        </w:rPr>
        <w:t xml:space="preserve">Choosing a storage backend for the internal environment</w:t>
      </w:r>
    </w:p>
    <w:p>
      <w:pPr>
        <w:spacing w:after="60" w:before="140"/>
        <w:ind w:left="0"/>
      </w:pPr>
      <w:r>
        <w:rPr>
          <w:b/>
          <w:bCs/>
          <w:color w:val="1F3864"/>
          <w:sz w:val="22"/>
          <w:szCs w:val="22"/>
        </w:rPr>
        <w:t xml:space="preserve">3.  </w:t>
      </w:r>
      <w:r>
        <w:rPr>
          <w:b/>
          <w:bCs/>
          <w:color w:val="1F3864"/>
          <w:sz w:val="22"/>
          <w:szCs w:val="22"/>
        </w:rPr>
        <w:t xml:space="preserve">Migration runbook</w:t>
      </w:r>
    </w:p>
    <w:p>
      <w:pPr>
        <w:spacing w:after="40" w:before="0"/>
        <w:ind w:left="400"/>
      </w:pPr>
      <w:r>
        <w:rPr>
          <w:b w:val="false"/>
          <w:bCs w:val="false"/>
          <w:color w:val="595959"/>
          <w:sz w:val="20"/>
          <w:szCs w:val="20"/>
        </w:rPr>
        <w:t xml:space="preserve">3.1  </w:t>
      </w:r>
      <w:r>
        <w:rPr>
          <w:b w:val="false"/>
          <w:bCs w:val="false"/>
          <w:color w:val="404040"/>
          <w:sz w:val="20"/>
          <w:szCs w:val="20"/>
        </w:rPr>
        <w:t xml:space="preserve">The short answer to "send us the scripts and backup"</w:t>
      </w:r>
    </w:p>
    <w:p>
      <w:pPr>
        <w:spacing w:after="40" w:before="0"/>
        <w:ind w:left="400"/>
      </w:pPr>
      <w:r>
        <w:rPr>
          <w:b w:val="false"/>
          <w:bCs w:val="false"/>
          <w:color w:val="595959"/>
          <w:sz w:val="20"/>
          <w:szCs w:val="20"/>
        </w:rPr>
        <w:t xml:space="preserve">3.2  </w:t>
      </w:r>
      <w:r>
        <w:rPr>
          <w:b w:val="false"/>
          <w:bCs w:val="false"/>
          <w:color w:val="404040"/>
          <w:sz w:val="20"/>
          <w:szCs w:val="20"/>
        </w:rPr>
        <w:t xml:space="preserve">What the application needs, and its environment variables</w:t>
      </w:r>
    </w:p>
    <w:p>
      <w:pPr>
        <w:spacing w:after="40" w:before="0"/>
        <w:ind w:left="400"/>
      </w:pPr>
      <w:r>
        <w:rPr>
          <w:b w:val="false"/>
          <w:bCs w:val="false"/>
          <w:color w:val="595959"/>
          <w:sz w:val="20"/>
          <w:szCs w:val="20"/>
        </w:rPr>
        <w:t xml:space="preserve">3.3  </w:t>
      </w:r>
      <w:r>
        <w:rPr>
          <w:b w:val="false"/>
          <w:bCs w:val="false"/>
          <w:color w:val="404040"/>
          <w:sz w:val="20"/>
          <w:szCs w:val="20"/>
        </w:rPr>
        <w:t xml:space="preserve">Recommended migration path</w:t>
      </w:r>
    </w:p>
    <w:p>
      <w:pPr>
        <w:spacing w:after="40" w:before="0"/>
        <w:ind w:left="400"/>
      </w:pPr>
      <w:r>
        <w:rPr>
          <w:b w:val="false"/>
          <w:bCs w:val="false"/>
          <w:color w:val="595959"/>
          <w:sz w:val="20"/>
          <w:szCs w:val="20"/>
        </w:rPr>
        <w:t xml:space="preserve">3.4  </w:t>
      </w:r>
      <w:r>
        <w:rPr>
          <w:b w:val="false"/>
          <w:bCs w:val="false"/>
          <w:color w:val="404040"/>
          <w:sz w:val="20"/>
          <w:szCs w:val="20"/>
        </w:rPr>
        <w:t xml:space="preserve">Dump and restore</w:t>
      </w:r>
    </w:p>
    <w:p>
      <w:pPr>
        <w:spacing w:after="40" w:before="0"/>
        <w:ind w:left="400"/>
      </w:pPr>
      <w:r>
        <w:rPr>
          <w:b w:val="false"/>
          <w:bCs w:val="false"/>
          <w:color w:val="595959"/>
          <w:sz w:val="20"/>
          <w:szCs w:val="20"/>
        </w:rPr>
        <w:t xml:space="preserve">3.5  </w:t>
      </w:r>
      <w:r>
        <w:rPr>
          <w:b w:val="false"/>
          <w:bCs w:val="false"/>
          <w:color w:val="404040"/>
          <w:sz w:val="20"/>
          <w:szCs w:val="20"/>
        </w:rPr>
        <w:t xml:space="preserve">What happens on first boot</w:t>
      </w:r>
    </w:p>
    <w:p>
      <w:pPr>
        <w:spacing w:after="40" w:before="0"/>
        <w:ind w:left="400"/>
      </w:pPr>
      <w:r>
        <w:rPr>
          <w:b w:val="false"/>
          <w:bCs w:val="false"/>
          <w:color w:val="595959"/>
          <w:sz w:val="20"/>
          <w:szCs w:val="20"/>
        </w:rPr>
        <w:t xml:space="preserve">3.6  </w:t>
      </w:r>
      <w:r>
        <w:rPr>
          <w:b w:val="false"/>
          <w:bCs w:val="false"/>
          <w:color w:val="404040"/>
          <w:sz w:val="20"/>
          <w:szCs w:val="20"/>
        </w:rPr>
        <w:t xml:space="preserve">Verification</w:t>
      </w:r>
    </w:p>
    <w:p>
      <w:pPr>
        <w:spacing w:after="40" w:before="0"/>
        <w:ind w:left="400"/>
      </w:pPr>
      <w:r>
        <w:rPr>
          <w:b w:val="false"/>
          <w:bCs w:val="false"/>
          <w:color w:val="595959"/>
          <w:sz w:val="20"/>
          <w:szCs w:val="20"/>
        </w:rPr>
        <w:t xml:space="preserve">3.7  </w:t>
      </w:r>
      <w:r>
        <w:rPr>
          <w:b w:val="false"/>
          <w:bCs w:val="false"/>
          <w:color w:val="404040"/>
          <w:sz w:val="20"/>
          <w:szCs w:val="20"/>
        </w:rPr>
        <w:t xml:space="preserve">Table inventory</w:t>
      </w:r>
    </w:p>
    <w:p>
      <w:pPr>
        <w:spacing w:after="40" w:before="0"/>
        <w:ind w:left="400"/>
      </w:pPr>
      <w:r>
        <w:rPr>
          <w:b w:val="false"/>
          <w:bCs w:val="false"/>
          <w:color w:val="595959"/>
          <w:sz w:val="20"/>
          <w:szCs w:val="20"/>
        </w:rPr>
        <w:t xml:space="preserve">3.8  </w:t>
      </w:r>
      <w:r>
        <w:rPr>
          <w:b w:val="false"/>
          <w:bCs w:val="false"/>
          <w:color w:val="404040"/>
          <w:sz w:val="20"/>
          <w:szCs w:val="20"/>
        </w:rPr>
        <w:t xml:space="preserve">Sizing</w:t>
      </w:r>
    </w:p>
    <w:p>
      <w:pPr>
        <w:spacing w:after="40" w:before="0"/>
        <w:ind w:left="400"/>
      </w:pPr>
      <w:r>
        <w:rPr>
          <w:b w:val="false"/>
          <w:bCs w:val="false"/>
          <w:color w:val="595959"/>
          <w:sz w:val="20"/>
          <w:szCs w:val="20"/>
        </w:rPr>
        <w:t xml:space="preserve">3.9  </w:t>
      </w:r>
      <w:r>
        <w:rPr>
          <w:b w:val="false"/>
          <w:bCs w:val="false"/>
          <w:color w:val="404040"/>
          <w:sz w:val="20"/>
          <w:szCs w:val="20"/>
        </w:rPr>
        <w:t xml:space="preserve">Ongoing operations</w:t>
      </w:r>
    </w:p>
    <w:p>
      <w:pPr>
        <w:spacing w:after="60" w:before="140"/>
        <w:ind w:left="0"/>
      </w:pPr>
      <w:r>
        <w:rPr>
          <w:b/>
          <w:bCs/>
          <w:color w:val="1F3864"/>
          <w:sz w:val="22"/>
          <w:szCs w:val="22"/>
        </w:rPr>
        <w:t xml:space="preserve">4.  </w:t>
      </w:r>
      <w:r>
        <w:rPr>
          <w:b/>
          <w:bCs/>
          <w:color w:val="1F3864"/>
          <w:sz w:val="22"/>
          <w:szCs w:val="22"/>
        </w:rPr>
        <w:t xml:space="preserve">Open items for the receiving team</w:t>
      </w:r>
    </w:p>
    <w:p>
      <w:r>
        <w:br w:type="page"/>
      </w:r>
    </w:p>
    <w:p>
      <w:pPr>
        <w:pStyle w:val="Heading1"/>
        <w:spacing w:after="160" w:before="360"/>
      </w:pPr>
      <w:r>
        <w:rPr>
          <w:b/>
          <w:bCs/>
          <w:color w:val="1F3864"/>
          <w:sz w:val="30"/>
          <w:szCs w:val="30"/>
        </w:rPr>
        <w:t xml:space="preserve">1. How the application is put together</w:t>
      </w:r>
    </w:p>
    <w:p>
      <w:pPr>
        <w:spacing w:after="120" w:line="280"/>
      </w:pPr>
      <w:r>
        <w:rPr>
          <w:sz w:val="21"/>
          <w:szCs w:val="21"/>
        </w:rPr>
        <w:t xml:space="preserve">Before the migration detail, an orientation — this answers the question that comes up first when someone looks at the hosting dashboard and counts the boxes.</w:t>
      </w:r>
    </w:p>
    <w:p>
      <w:pPr>
        <w:pStyle w:val="Heading2"/>
        <w:spacing w:after="120" w:before="280"/>
      </w:pPr>
      <w:r>
        <w:rPr>
          <w:b/>
          <w:bCs/>
          <w:color w:val="1F3864"/>
          <w:sz w:val="24"/>
          <w:szCs w:val="24"/>
        </w:rPr>
        <w:t xml:space="preserve">1.1 There is one backend, not two</w:t>
      </w:r>
    </w:p>
    <w:p>
      <w:pPr>
        <w:spacing w:after="120" w:line="280"/>
      </w:pPr>
      <w:r>
        <w:rPr>
          <w:sz w:val="21"/>
          <w:szCs w:val="21"/>
        </w:rPr>
        <w:t xml:space="preserve">The hosting dashboard shows three entries. Only two of them are applications; the third is storage.</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200"/>
        <w:gridCol w:w="4760"/>
        <w:gridCol w:w="2400"/>
      </w:tblGrid>
      <w:tr>
        <w:trPr>
          <w:tblHeader/>
        </w:trPr>
        <w:tc>
          <w:tcPr>
            <w:tcW w:type="dxa" w:w="2200"/>
            <w:shd w:fill="DCE6F1" w:val="clear"/>
            <w:tcMar>
              <w:top w:type="dxa" w:w="90"/>
              <w:left w:type="dxa" w:w="130"/>
              <w:bottom w:type="dxa" w:w="90"/>
              <w:right w:type="dxa" w:w="130"/>
            </w:tcMar>
          </w:tcPr>
          <w:p>
            <w:r>
              <w:rPr>
                <w:b/>
                <w:bCs/>
                <w:color w:val="1F3864"/>
                <w:sz w:val="20"/>
                <w:szCs w:val="20"/>
              </w:rPr>
              <w:t xml:space="preserve">What you see</w:t>
            </w:r>
          </w:p>
        </w:tc>
        <w:tc>
          <w:tcPr>
            <w:tcW w:type="dxa" w:w="4760"/>
            <w:shd w:fill="DCE6F1" w:val="clear"/>
            <w:tcMar>
              <w:top w:type="dxa" w:w="90"/>
              <w:left w:type="dxa" w:w="130"/>
              <w:bottom w:type="dxa" w:w="90"/>
              <w:right w:type="dxa" w:w="130"/>
            </w:tcMar>
          </w:tcPr>
          <w:p>
            <w:r>
              <w:rPr>
                <w:b/>
                <w:bCs/>
                <w:color w:val="1F3864"/>
                <w:sz w:val="20"/>
                <w:szCs w:val="20"/>
              </w:rPr>
              <w:t xml:space="preserve">What it actually is</w:t>
            </w:r>
          </w:p>
        </w:tc>
        <w:tc>
          <w:tcPr>
            <w:tcW w:type="dxa" w:w="2400"/>
            <w:shd w:fill="DCE6F1" w:val="clear"/>
            <w:tcMar>
              <w:top w:type="dxa" w:w="90"/>
              <w:left w:type="dxa" w:w="130"/>
              <w:bottom w:type="dxa" w:w="90"/>
              <w:right w:type="dxa" w:w="130"/>
            </w:tcMar>
          </w:tcPr>
          <w:p>
            <w:r>
              <w:rPr>
                <w:b/>
                <w:bCs/>
                <w:color w:val="1F3864"/>
                <w:sz w:val="20"/>
                <w:szCs w:val="20"/>
              </w:rPr>
              <w:t xml:space="preserve">Is it a "backend"?</w:t>
            </w:r>
          </w:p>
        </w:tc>
      </w:tr>
      <w:tr>
        <w:tc>
          <w:tcPr>
            <w:tcW w:type="dxa" w:w="2200"/>
            <w:tcMar>
              <w:top w:type="dxa" w:w="90"/>
              <w:left w:type="dxa" w:w="130"/>
              <w:bottom w:type="dxa" w:w="90"/>
              <w:right w:type="dxa" w:w="130"/>
            </w:tcMar>
          </w:tcPr>
          <w:p>
            <w:r>
              <w:rPr>
                <w:rFonts w:ascii="Consolas" w:cs="Consolas" w:eastAsia="Consolas" w:hAnsi="Consolas"/>
                <w:sz w:val="18"/>
                <w:szCs w:val="18"/>
              </w:rPr>
              <w:t xml:space="preserve">chart-viewer-ui</w:t>
            </w:r>
          </w:p>
        </w:tc>
        <w:tc>
          <w:tcPr>
            <w:tcW w:type="dxa" w:w="4760"/>
            <w:tcMar>
              <w:top w:type="dxa" w:w="90"/>
              <w:left w:type="dxa" w:w="130"/>
              <w:bottom w:type="dxa" w:w="90"/>
              <w:right w:type="dxa" w:w="130"/>
            </w:tcMar>
          </w:tcPr>
          <w:p>
            <w:r>
              <w:rPr>
                <w:sz w:val="20"/>
                <w:szCs w:val="20"/>
              </w:rPr>
              <w:t xml:space="preserve">The website itself — the pages a trainer or coder opens in the browser. Static files: HTML, JavaScript, CSS. No logic of its own; it asks the backend for everything.</w:t>
            </w:r>
          </w:p>
        </w:tc>
        <w:tc>
          <w:tcPr>
            <w:tcW w:type="dxa" w:w="2400"/>
            <w:tcMar>
              <w:top w:type="dxa" w:w="90"/>
              <w:left w:type="dxa" w:w="130"/>
              <w:bottom w:type="dxa" w:w="90"/>
              <w:right w:type="dxa" w:w="130"/>
            </w:tcMar>
          </w:tcPr>
          <w:p>
            <w:r>
              <w:rPr>
                <w:b/>
                <w:bCs/>
                <w:sz w:val="20"/>
                <w:szCs w:val="20"/>
              </w:rPr>
              <w:t xml:space="preserve">No</w:t>
            </w:r>
            <w:r>
              <w:rPr>
                <w:sz w:val="20"/>
                <w:szCs w:val="20"/>
              </w:rPr>
              <w:t xml:space="preserve"> — it is the front end.</w:t>
            </w:r>
          </w:p>
        </w:tc>
      </w:tr>
      <w:tr>
        <w:tc>
          <w:tcPr>
            <w:tcW w:type="dxa" w:w="2200"/>
            <w:tcMar>
              <w:top w:type="dxa" w:w="90"/>
              <w:left w:type="dxa" w:w="130"/>
              <w:bottom w:type="dxa" w:w="90"/>
              <w:right w:type="dxa" w:w="130"/>
            </w:tcMar>
          </w:tcPr>
          <w:p>
            <w:r>
              <w:rPr>
                <w:rFonts w:ascii="Consolas" w:cs="Consolas" w:eastAsia="Consolas" w:hAnsi="Consolas"/>
                <w:sz w:val="18"/>
                <w:szCs w:val="18"/>
              </w:rPr>
              <w:t xml:space="preserve">chart-viewer-api</w:t>
            </w:r>
          </w:p>
        </w:tc>
        <w:tc>
          <w:tcPr>
            <w:tcW w:type="dxa" w:w="4760"/>
            <w:tcMar>
              <w:top w:type="dxa" w:w="90"/>
              <w:left w:type="dxa" w:w="130"/>
              <w:bottom w:type="dxa" w:w="90"/>
              <w:right w:type="dxa" w:w="130"/>
            </w:tcMar>
          </w:tcPr>
          <w:p>
            <w:r>
              <w:rPr>
                <w:sz w:val="20"/>
                <w:szCs w:val="20"/>
              </w:rPr>
              <w:t xml:space="preserve">The backend. All the logic lives here: grading, uploads, answer keys, analytics, reports. Written in Python.</w:t>
            </w:r>
          </w:p>
        </w:tc>
        <w:tc>
          <w:tcPr>
            <w:tcW w:type="dxa" w:w="2400"/>
            <w:tcMar>
              <w:top w:type="dxa" w:w="90"/>
              <w:left w:type="dxa" w:w="130"/>
              <w:bottom w:type="dxa" w:w="90"/>
              <w:right w:type="dxa" w:w="130"/>
            </w:tcMar>
          </w:tcPr>
          <w:p>
            <w:r>
              <w:rPr>
                <w:b/>
                <w:bCs/>
                <w:sz w:val="20"/>
                <w:szCs w:val="20"/>
              </w:rPr>
              <w:t xml:space="preserve">Yes</w:t>
            </w:r>
            <w:r>
              <w:rPr>
                <w:sz w:val="20"/>
                <w:szCs w:val="20"/>
              </w:rPr>
              <w:t xml:space="preserve"> — this is the only one.</w:t>
            </w:r>
          </w:p>
        </w:tc>
      </w:tr>
      <w:tr>
        <w:tc>
          <w:tcPr>
            <w:tcW w:type="dxa" w:w="2200"/>
            <w:tcMar>
              <w:top w:type="dxa" w:w="90"/>
              <w:left w:type="dxa" w:w="130"/>
              <w:bottom w:type="dxa" w:w="90"/>
              <w:right w:type="dxa" w:w="130"/>
            </w:tcMar>
          </w:tcPr>
          <w:p>
            <w:r>
              <w:rPr>
                <w:rFonts w:ascii="Consolas" w:cs="Consolas" w:eastAsia="Consolas" w:hAnsi="Consolas"/>
                <w:sz w:val="18"/>
                <w:szCs w:val="18"/>
              </w:rPr>
              <w:t xml:space="preserve">chart-viewer-db</w:t>
            </w:r>
          </w:p>
        </w:tc>
        <w:tc>
          <w:tcPr>
            <w:tcW w:type="dxa" w:w="4760"/>
            <w:tcMar>
              <w:top w:type="dxa" w:w="90"/>
              <w:left w:type="dxa" w:w="130"/>
              <w:bottom w:type="dxa" w:w="90"/>
              <w:right w:type="dxa" w:w="130"/>
            </w:tcMar>
          </w:tcPr>
          <w:p>
            <w:r>
              <w:rPr>
                <w:sz w:val="20"/>
                <w:szCs w:val="20"/>
              </w:rPr>
              <w:t xml:space="preserve">The PostgreSQL database. It does not run any application code — it stores rows and answers queries when the backend asks.</w:t>
            </w:r>
          </w:p>
        </w:tc>
        <w:tc>
          <w:tcPr>
            <w:tcW w:type="dxa" w:w="2400"/>
            <w:tcMar>
              <w:top w:type="dxa" w:w="90"/>
              <w:left w:type="dxa" w:w="130"/>
              <w:bottom w:type="dxa" w:w="90"/>
              <w:right w:type="dxa" w:w="130"/>
            </w:tcMar>
          </w:tcPr>
          <w:p>
            <w:r>
              <w:rPr>
                <w:b/>
                <w:bCs/>
                <w:sz w:val="20"/>
                <w:szCs w:val="20"/>
              </w:rPr>
              <w:t xml:space="preserve">No</w:t>
            </w:r>
            <w:r>
              <w:rPr>
                <w:sz w:val="20"/>
                <w:szCs w:val="20"/>
              </w:rPr>
              <w:t xml:space="preserve"> — it is the database.</w:t>
            </w:r>
          </w:p>
        </w:tc>
      </w:tr>
    </w:tbl>
    <w:p>
      <w:pPr>
        <w:spacing w:after="120" w:line="280"/>
      </w:pPr>
      <w:r>
        <w:rPr>
          <w:sz w:val="21"/>
          <w:szCs w:val="21"/>
        </w:rPr>
        <w:t xml:space="preserve">So: one front end, one backend, one database. The database appears alongside the two services in the dashboard because the host manages it for you, not because it is a third application.</w:t>
      </w:r>
    </w:p>
    <w:p>
      <w:pPr>
        <w:pStyle w:val="Heading2"/>
        <w:spacing w:after="120" w:before="280"/>
      </w:pPr>
      <w:r>
        <w:rPr>
          <w:b/>
          <w:bCs/>
          <w:color w:val="1F3864"/>
          <w:sz w:val="24"/>
          <w:szCs w:val="24"/>
        </w:rPr>
        <w:t xml:space="preserve">1.2 The fourth piece, which is not in that dashboard</w:t>
      </w:r>
    </w:p>
    <w:tbl>
      <w:tblPr>
        <w:tblW w:type="dxa" w:w="9360"/>
        <w:tblBorders>
          <w:top w:val="single" w:color="E8A33D" w:sz="4"/>
          <w:left w:val="single" w:color="E8A33D" w:sz="18"/>
          <w:bottom w:val="single" w:color="E8A33D" w:sz="4"/>
          <w:right w:val="single" w:color="E8A33D" w:sz="4"/>
          <w:insideH w:val="single" w:color="auto" w:sz="4"/>
          <w:insideV w:val="single" w:color="auto" w:sz="4"/>
        </w:tblBorders>
      </w:tblPr>
      <w:tblGrid>
        <w:gridCol w:w="9360"/>
      </w:tblGrid>
      <w:tr>
        <w:tc>
          <w:tcPr>
            <w:tcW w:type="dxa" w:w="9360"/>
            <w:shd w:fill="FFF4E5" w:val="clear"/>
            <w:tcMar>
              <w:top w:type="dxa" w:w="140"/>
              <w:left w:type="dxa" w:w="180"/>
              <w:bottom w:type="dxa" w:w="140"/>
              <w:right w:type="dxa" w:w="180"/>
            </w:tcMar>
          </w:tcPr>
          <w:p>
            <w:pPr>
              <w:spacing w:after="80"/>
            </w:pPr>
            <w:r>
              <w:rPr>
                <w:b/>
                <w:bCs/>
                <w:color w:val="8A5A00"/>
                <w:sz w:val="21"/>
                <w:szCs w:val="21"/>
              </w:rPr>
              <w:t xml:space="preserve">There is a storage bucket, and it is easy to miss</w:t>
            </w:r>
          </w:p>
          <w:p>
            <w:pPr>
              <w:spacing w:after="60" w:line="280"/>
            </w:pPr>
            <w:r>
              <w:rPr>
                <w:sz w:val="21"/>
                <w:szCs w:val="21"/>
              </w:rPr>
              <w:t xml:space="preserve">Chart page images are not in the database and not on either service. They sit in Cloudflare R2 — S3-compatible object storage from a separate provider, which does not appear in the hosting dashboard alongside the other three.</w:t>
            </w:r>
          </w:p>
          <w:p>
            <w:pPr>
              <w:spacing w:after="60" w:line="280"/>
            </w:pPr>
            <w:r>
              <w:rPr>
                <w:sz w:val="21"/>
                <w:szCs w:val="21"/>
              </w:rPr>
              <w:t xml:space="preserve">Only the backend talks to it. See 2.3 for what to collect from the Cloudflare account.</w:t>
            </w:r>
          </w:p>
          <w:p>
            <w:pPr>
              <w:spacing w:after="60" w:line="280"/>
            </w:pPr>
            <w:r>
              <w:rPr>
                <w:b/>
                <w:bCs/>
                <w:sz w:val="21"/>
                <w:szCs w:val="21"/>
              </w:rPr>
              <w:t xml:space="preserve">A migration that moves the database and both services, and forgets the bucket, produces an application where every chart is a broken image.</w:t>
            </w:r>
          </w:p>
        </w:tc>
      </w:tr>
    </w:tbl>
    <w:p>
      <w:pPr>
        <w:pStyle w:val="Heading2"/>
        <w:spacing w:after="120" w:before="280"/>
      </w:pPr>
      <w:r>
        <w:rPr>
          <w:b/>
          <w:bCs/>
          <w:color w:val="1F3864"/>
          <w:sz w:val="24"/>
          <w:szCs w:val="24"/>
        </w:rPr>
        <w:t xml:space="preserve">1.3 The whole picture in one page</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900"/>
        <w:gridCol w:w="2000"/>
        <w:gridCol w:w="3260"/>
        <w:gridCol w:w="2200"/>
      </w:tblGrid>
      <w:tr>
        <w:trPr>
          <w:tblHeader/>
        </w:trPr>
        <w:tc>
          <w:tcPr>
            <w:tcW w:type="dxa" w:w="1900"/>
            <w:shd w:fill="DCE6F1" w:val="clear"/>
            <w:tcMar>
              <w:top w:type="dxa" w:w="90"/>
              <w:left w:type="dxa" w:w="130"/>
              <w:bottom w:type="dxa" w:w="90"/>
              <w:right w:type="dxa" w:w="130"/>
            </w:tcMar>
          </w:tcPr>
          <w:p>
            <w:r>
              <w:rPr>
                <w:b/>
                <w:bCs/>
                <w:color w:val="1F3864"/>
                <w:sz w:val="20"/>
                <w:szCs w:val="20"/>
              </w:rPr>
              <w:t xml:space="preserve">Piece</w:t>
            </w:r>
          </w:p>
        </w:tc>
        <w:tc>
          <w:tcPr>
            <w:tcW w:type="dxa" w:w="2000"/>
            <w:shd w:fill="DCE6F1" w:val="clear"/>
            <w:tcMar>
              <w:top w:type="dxa" w:w="90"/>
              <w:left w:type="dxa" w:w="130"/>
              <w:bottom w:type="dxa" w:w="90"/>
              <w:right w:type="dxa" w:w="130"/>
            </w:tcMar>
          </w:tcPr>
          <w:p>
            <w:r>
              <w:rPr>
                <w:b/>
                <w:bCs/>
                <w:color w:val="1F3864"/>
                <w:sz w:val="20"/>
                <w:szCs w:val="20"/>
              </w:rPr>
              <w:t xml:space="preserve">Runs where</w:t>
            </w:r>
          </w:p>
        </w:tc>
        <w:tc>
          <w:tcPr>
            <w:tcW w:type="dxa" w:w="3260"/>
            <w:shd w:fill="DCE6F1" w:val="clear"/>
            <w:tcMar>
              <w:top w:type="dxa" w:w="90"/>
              <w:left w:type="dxa" w:w="130"/>
              <w:bottom w:type="dxa" w:w="90"/>
              <w:right w:type="dxa" w:w="130"/>
            </w:tcMar>
          </w:tcPr>
          <w:p>
            <w:r>
              <w:rPr>
                <w:b/>
                <w:bCs/>
                <w:color w:val="1F3864"/>
                <w:sz w:val="20"/>
                <w:szCs w:val="20"/>
              </w:rPr>
              <w:t xml:space="preserve">Holds what</w:t>
            </w:r>
          </w:p>
        </w:tc>
        <w:tc>
          <w:tcPr>
            <w:tcW w:type="dxa" w:w="2200"/>
            <w:shd w:fill="DCE6F1" w:val="clear"/>
            <w:tcMar>
              <w:top w:type="dxa" w:w="90"/>
              <w:left w:type="dxa" w:w="130"/>
              <w:bottom w:type="dxa" w:w="90"/>
              <w:right w:type="dxa" w:w="130"/>
            </w:tcMar>
          </w:tcPr>
          <w:p>
            <w:r>
              <w:rPr>
                <w:b/>
                <w:bCs/>
                <w:color w:val="1F3864"/>
                <w:sz w:val="20"/>
                <w:szCs w:val="20"/>
              </w:rPr>
              <w:t xml:space="preserve">Migrate how</w:t>
            </w:r>
          </w:p>
        </w:tc>
      </w:tr>
      <w:tr>
        <w:tc>
          <w:tcPr>
            <w:tcW w:type="dxa" w:w="1900"/>
            <w:tcMar>
              <w:top w:type="dxa" w:w="90"/>
              <w:left w:type="dxa" w:w="130"/>
              <w:bottom w:type="dxa" w:w="90"/>
              <w:right w:type="dxa" w:w="130"/>
            </w:tcMar>
          </w:tcPr>
          <w:p>
            <w:r>
              <w:rPr>
                <w:sz w:val="20"/>
                <w:szCs w:val="20"/>
              </w:rPr>
              <w:t xml:space="preserve">Front end (UI)</w:t>
            </w:r>
          </w:p>
        </w:tc>
        <w:tc>
          <w:tcPr>
            <w:tcW w:type="dxa" w:w="2000"/>
            <w:tcMar>
              <w:top w:type="dxa" w:w="90"/>
              <w:left w:type="dxa" w:w="130"/>
              <w:bottom w:type="dxa" w:w="90"/>
              <w:right w:type="dxa" w:w="130"/>
            </w:tcMar>
          </w:tcPr>
          <w:p>
            <w:r>
              <w:rPr>
                <w:sz w:val="20"/>
                <w:szCs w:val="20"/>
              </w:rPr>
              <w:t xml:space="preserve">Static site host</w:t>
            </w:r>
          </w:p>
        </w:tc>
        <w:tc>
          <w:tcPr>
            <w:tcW w:type="dxa" w:w="3260"/>
            <w:tcMar>
              <w:top w:type="dxa" w:w="90"/>
              <w:left w:type="dxa" w:w="130"/>
              <w:bottom w:type="dxa" w:w="90"/>
              <w:right w:type="dxa" w:w="130"/>
            </w:tcMar>
          </w:tcPr>
          <w:p>
            <w:r>
              <w:rPr>
                <w:sz w:val="20"/>
                <w:szCs w:val="20"/>
              </w:rPr>
              <w:t xml:space="preserve">Nothing. Rebuilt from source code.</w:t>
            </w:r>
          </w:p>
        </w:tc>
        <w:tc>
          <w:tcPr>
            <w:tcW w:type="dxa" w:w="2200"/>
            <w:tcMar>
              <w:top w:type="dxa" w:w="90"/>
              <w:left w:type="dxa" w:w="130"/>
              <w:bottom w:type="dxa" w:w="90"/>
              <w:right w:type="dxa" w:w="130"/>
            </w:tcMar>
          </w:tcPr>
          <w:p>
            <w:r>
              <w:rPr>
                <w:sz w:val="20"/>
                <w:szCs w:val="20"/>
              </w:rPr>
              <w:t xml:space="preserve">Redeploy from the repository</w:t>
            </w:r>
          </w:p>
        </w:tc>
      </w:tr>
      <w:tr>
        <w:tc>
          <w:tcPr>
            <w:tcW w:type="dxa" w:w="1900"/>
            <w:tcMar>
              <w:top w:type="dxa" w:w="90"/>
              <w:left w:type="dxa" w:w="130"/>
              <w:bottom w:type="dxa" w:w="90"/>
              <w:right w:type="dxa" w:w="130"/>
            </w:tcMar>
          </w:tcPr>
          <w:p>
            <w:r>
              <w:rPr>
                <w:sz w:val="20"/>
                <w:szCs w:val="20"/>
              </w:rPr>
              <w:t xml:space="preserve">Backend (API)</w:t>
            </w:r>
          </w:p>
        </w:tc>
        <w:tc>
          <w:tcPr>
            <w:tcW w:type="dxa" w:w="2000"/>
            <w:tcMar>
              <w:top w:type="dxa" w:w="90"/>
              <w:left w:type="dxa" w:w="130"/>
              <w:bottom w:type="dxa" w:w="90"/>
              <w:right w:type="dxa" w:w="130"/>
            </w:tcMar>
          </w:tcPr>
          <w:p>
            <w:r>
              <w:rPr>
                <w:sz w:val="20"/>
                <w:szCs w:val="20"/>
              </w:rPr>
              <w:t xml:space="preserve">Web service</w:t>
            </w:r>
          </w:p>
        </w:tc>
        <w:tc>
          <w:tcPr>
            <w:tcW w:type="dxa" w:w="3260"/>
            <w:tcMar>
              <w:top w:type="dxa" w:w="90"/>
              <w:left w:type="dxa" w:w="130"/>
              <w:bottom w:type="dxa" w:w="90"/>
              <w:right w:type="dxa" w:w="130"/>
            </w:tcMar>
          </w:tcPr>
          <w:p>
            <w:r>
              <w:rPr>
                <w:sz w:val="20"/>
                <w:szCs w:val="20"/>
              </w:rPr>
              <w:t xml:space="preserve">Nothing. Rebuilt from source code.</w:t>
            </w:r>
          </w:p>
        </w:tc>
        <w:tc>
          <w:tcPr>
            <w:tcW w:type="dxa" w:w="2200"/>
            <w:tcMar>
              <w:top w:type="dxa" w:w="90"/>
              <w:left w:type="dxa" w:w="130"/>
              <w:bottom w:type="dxa" w:w="90"/>
              <w:right w:type="dxa" w:w="130"/>
            </w:tcMar>
          </w:tcPr>
          <w:p>
            <w:r>
              <w:rPr>
                <w:sz w:val="20"/>
                <w:szCs w:val="20"/>
              </w:rPr>
              <w:t xml:space="preserve">Redeploy from the repository</w:t>
            </w:r>
          </w:p>
        </w:tc>
      </w:tr>
      <w:tr>
        <w:tc>
          <w:tcPr>
            <w:tcW w:type="dxa" w:w="1900"/>
            <w:tcMar>
              <w:top w:type="dxa" w:w="90"/>
              <w:left w:type="dxa" w:w="130"/>
              <w:bottom w:type="dxa" w:w="90"/>
              <w:right w:type="dxa" w:w="130"/>
            </w:tcMar>
          </w:tcPr>
          <w:p>
            <w:r>
              <w:rPr>
                <w:sz w:val="20"/>
                <w:szCs w:val="20"/>
              </w:rPr>
              <w:t xml:space="preserve">Database</w:t>
            </w:r>
          </w:p>
        </w:tc>
        <w:tc>
          <w:tcPr>
            <w:tcW w:type="dxa" w:w="2000"/>
            <w:tcMar>
              <w:top w:type="dxa" w:w="90"/>
              <w:left w:type="dxa" w:w="130"/>
              <w:bottom w:type="dxa" w:w="90"/>
              <w:right w:type="dxa" w:w="130"/>
            </w:tcMar>
          </w:tcPr>
          <w:p>
            <w:r>
              <w:rPr>
                <w:sz w:val="20"/>
                <w:szCs w:val="20"/>
              </w:rPr>
              <w:t xml:space="preserve">Managed PostgreSQL</w:t>
            </w:r>
          </w:p>
        </w:tc>
        <w:tc>
          <w:tcPr>
            <w:tcW w:type="dxa" w:w="3260"/>
            <w:tcMar>
              <w:top w:type="dxa" w:w="90"/>
              <w:left w:type="dxa" w:w="130"/>
              <w:bottom w:type="dxa" w:w="90"/>
              <w:right w:type="dxa" w:w="130"/>
            </w:tcMar>
          </w:tcPr>
          <w:p>
            <w:r>
              <w:rPr>
                <w:sz w:val="20"/>
                <w:szCs w:val="20"/>
              </w:rPr>
              <w:t xml:space="preserve">All records: charts metadata, answer keys, batches, results, assessments</w:t>
            </w:r>
          </w:p>
        </w:tc>
        <w:tc>
          <w:tcPr>
            <w:tcW w:type="dxa" w:w="2200"/>
            <w:tcMar>
              <w:top w:type="dxa" w:w="90"/>
              <w:left w:type="dxa" w:w="130"/>
              <w:bottom w:type="dxa" w:w="90"/>
              <w:right w:type="dxa" w:w="130"/>
            </w:tcMar>
          </w:tcPr>
          <w:p>
            <w:r>
              <w:rPr>
                <w:rFonts w:ascii="Consolas" w:cs="Consolas" w:eastAsia="Consolas" w:hAnsi="Consolas"/>
                <w:sz w:val="18"/>
                <w:szCs w:val="18"/>
              </w:rPr>
              <w:t xml:space="preserve">pg_dump</w:t>
            </w:r>
            <w:r>
              <w:rPr>
                <w:sz w:val="20"/>
                <w:szCs w:val="20"/>
              </w:rPr>
              <w:t xml:space="preserve"> and restore — Part 3</w:t>
            </w:r>
          </w:p>
        </w:tc>
      </w:tr>
      <w:tr>
        <w:tc>
          <w:tcPr>
            <w:tcW w:type="dxa" w:w="1900"/>
            <w:tcMar>
              <w:top w:type="dxa" w:w="90"/>
              <w:left w:type="dxa" w:w="130"/>
              <w:bottom w:type="dxa" w:w="90"/>
              <w:right w:type="dxa" w:w="130"/>
            </w:tcMar>
          </w:tcPr>
          <w:p>
            <w:r>
              <w:rPr>
                <w:sz w:val="20"/>
                <w:szCs w:val="20"/>
              </w:rPr>
              <w:t xml:space="preserve">Object storage</w:t>
            </w:r>
          </w:p>
        </w:tc>
        <w:tc>
          <w:tcPr>
            <w:tcW w:type="dxa" w:w="2000"/>
            <w:tcMar>
              <w:top w:type="dxa" w:w="90"/>
              <w:left w:type="dxa" w:w="130"/>
              <w:bottom w:type="dxa" w:w="90"/>
              <w:right w:type="dxa" w:w="130"/>
            </w:tcMar>
          </w:tcPr>
          <w:p>
            <w:r>
              <w:rPr>
                <w:sz w:val="20"/>
                <w:szCs w:val="20"/>
              </w:rPr>
              <w:t xml:space="preserve">S3-compatible bucket</w:t>
            </w:r>
          </w:p>
        </w:tc>
        <w:tc>
          <w:tcPr>
            <w:tcW w:type="dxa" w:w="3260"/>
            <w:tcMar>
              <w:top w:type="dxa" w:w="90"/>
              <w:left w:type="dxa" w:w="130"/>
              <w:bottom w:type="dxa" w:w="90"/>
              <w:right w:type="dxa" w:w="130"/>
            </w:tcMar>
          </w:tcPr>
          <w:p>
            <w:r>
              <w:rPr>
                <w:sz w:val="20"/>
                <w:szCs w:val="20"/>
              </w:rPr>
              <w:t xml:space="preserve">Chart page images — the only copy</w:t>
            </w:r>
          </w:p>
        </w:tc>
        <w:tc>
          <w:tcPr>
            <w:tcW w:type="dxa" w:w="2200"/>
            <w:tcMar>
              <w:top w:type="dxa" w:w="90"/>
              <w:left w:type="dxa" w:w="130"/>
              <w:bottom w:type="dxa" w:w="90"/>
              <w:right w:type="dxa" w:w="130"/>
            </w:tcMar>
          </w:tcPr>
          <w:p>
            <w:r>
              <w:rPr>
                <w:sz w:val="20"/>
                <w:szCs w:val="20"/>
              </w:rPr>
              <w:t xml:space="preserve">Copy the bucket, or re-point at the existing one</w:t>
            </w:r>
          </w:p>
        </w:tc>
      </w:tr>
    </w:tbl>
    <w:p>
      <w:pPr>
        <w:spacing w:after="120" w:line="280"/>
      </w:pPr>
      <w:r>
        <w:rPr>
          <w:sz w:val="21"/>
          <w:szCs w:val="21"/>
        </w:rPr>
        <w:t xml:space="preserve">Only the last two hold anything. The first two are code, and code comes from the repository.</w:t>
      </w:r>
    </w:p>
    <w:p>
      <w:pPr>
        <w:pBdr>
          <w:bottom w:val="single" w:color="D9D9D9" w:sz="6"/>
        </w:pBdr>
        <w:spacing w:after="200" w:before="200"/>
      </w:pPr>
    </w:p>
    <w:p>
      <w:pPr>
        <w:spacing w:after="120" w:line="280"/>
      </w:pPr>
      <w:r>
        <w:rPr>
          <w:i/>
          <w:iCs/>
          <w:color w:val="595959"/>
          <w:sz w:val="21"/>
          <w:szCs w:val="21"/>
        </w:rPr>
        <w:t xml:space="preserve">The rest of this document is in two parts. Part 2 explains what is actually stored and where, which is worth reading before Part 3. Part 3 is the step-by-step migration.</w:t>
      </w:r>
    </w:p>
    <w:p>
      <w:r>
        <w:br w:type="page"/>
      </w:r>
    </w:p>
    <w:p>
      <w:pPr>
        <w:pStyle w:val="Heading1"/>
        <w:spacing w:after="160" w:before="360"/>
      </w:pPr>
      <w:r>
        <w:rPr>
          <w:b/>
          <w:bCs/>
          <w:color w:val="1F3864"/>
          <w:sz w:val="30"/>
          <w:szCs w:val="30"/>
        </w:rPr>
        <w:t xml:space="preserve">2. Where the data lives</w:t>
      </w:r>
    </w:p>
    <w:p>
      <w:pPr>
        <w:spacing w:after="120" w:line="280"/>
      </w:pPr>
      <w:r>
        <w:rPr>
          <w:sz w:val="21"/>
          <w:szCs w:val="21"/>
        </w:rPr>
        <w:t xml:space="preserve">When a trainer uploads a chart or an answer-key spreadsheet, what is actually stored, and where. There are two stores, and they behave completely differently.</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200"/>
        <w:gridCol w:w="3080"/>
        <w:gridCol w:w="3080"/>
      </w:tblGrid>
      <w:tr>
        <w:trPr>
          <w:tblHeader/>
        </w:trPr>
        <w:tc>
          <w:tcPr>
            <w:tcW w:type="dxa" w:w="3200"/>
            <w:shd w:fill="DCE6F1" w:val="clear"/>
            <w:tcMar>
              <w:top w:type="dxa" w:w="90"/>
              <w:left w:type="dxa" w:w="130"/>
              <w:bottom w:type="dxa" w:w="90"/>
              <w:right w:type="dxa" w:w="130"/>
            </w:tcMar>
          </w:tcPr>
          <w:p>
            <w:r>
              <w:rPr>
                <w:b/>
                <w:bCs/>
                <w:color w:val="1F3864"/>
                <w:sz w:val="20"/>
                <w:szCs w:val="20"/>
              </w:rPr>
              <w:t xml:space="preserve"/>
            </w:r>
          </w:p>
        </w:tc>
        <w:tc>
          <w:tcPr>
            <w:tcW w:type="dxa" w:w="3080"/>
            <w:shd w:fill="DCE6F1" w:val="clear"/>
            <w:tcMar>
              <w:top w:type="dxa" w:w="90"/>
              <w:left w:type="dxa" w:w="130"/>
              <w:bottom w:type="dxa" w:w="90"/>
              <w:right w:type="dxa" w:w="130"/>
            </w:tcMar>
          </w:tcPr>
          <w:p>
            <w:r>
              <w:rPr>
                <w:b/>
                <w:bCs/>
                <w:color w:val="1F3864"/>
                <w:sz w:val="20"/>
                <w:szCs w:val="20"/>
              </w:rPr>
              <w:t xml:space="preserve">Object storage</w:t>
            </w:r>
          </w:p>
        </w:tc>
        <w:tc>
          <w:tcPr>
            <w:tcW w:type="dxa" w:w="3080"/>
            <w:shd w:fill="DCE6F1" w:val="clear"/>
            <w:tcMar>
              <w:top w:type="dxa" w:w="90"/>
              <w:left w:type="dxa" w:w="130"/>
              <w:bottom w:type="dxa" w:w="90"/>
              <w:right w:type="dxa" w:w="130"/>
            </w:tcMar>
          </w:tcPr>
          <w:p>
            <w:r>
              <w:rPr>
                <w:b/>
                <w:bCs/>
                <w:color w:val="1F3864"/>
                <w:sz w:val="20"/>
                <w:szCs w:val="20"/>
              </w:rPr>
              <w:t xml:space="preserve">PostgreSQL</w:t>
            </w:r>
          </w:p>
        </w:tc>
      </w:tr>
      <w:tr>
        <w:tc>
          <w:tcPr>
            <w:tcW w:type="dxa" w:w="3200"/>
            <w:tcMar>
              <w:top w:type="dxa" w:w="90"/>
              <w:left w:type="dxa" w:w="130"/>
              <w:bottom w:type="dxa" w:w="90"/>
              <w:right w:type="dxa" w:w="130"/>
            </w:tcMar>
          </w:tcPr>
          <w:p>
            <w:r>
              <w:rPr>
                <w:sz w:val="20"/>
                <w:szCs w:val="20"/>
              </w:rPr>
              <w:t xml:space="preserve">Chart page images</w:t>
            </w:r>
          </w:p>
        </w:tc>
        <w:tc>
          <w:tcPr>
            <w:tcW w:type="dxa" w:w="3080"/>
            <w:tcMar>
              <w:top w:type="dxa" w:w="90"/>
              <w:left w:type="dxa" w:w="130"/>
              <w:bottom w:type="dxa" w:w="90"/>
              <w:right w:type="dxa" w:w="130"/>
            </w:tcMar>
          </w:tcPr>
          <w:p>
            <w:r>
              <w:rPr>
                <w:b/>
                <w:bCs/>
                <w:sz w:val="20"/>
                <w:szCs w:val="20"/>
              </w:rPr>
              <w:t xml:space="preserve">Yes — the only copy</w:t>
            </w:r>
          </w:p>
        </w:tc>
        <w:tc>
          <w:tcPr>
            <w:tcW w:type="dxa" w:w="3080"/>
            <w:tcMar>
              <w:top w:type="dxa" w:w="90"/>
              <w:left w:type="dxa" w:w="130"/>
              <w:bottom w:type="dxa" w:w="90"/>
              <w:right w:type="dxa" w:w="130"/>
            </w:tcMar>
          </w:tcPr>
          <w:p>
            <w:r>
              <w:rPr>
                <w:sz w:val="20"/>
                <w:szCs w:val="20"/>
              </w:rPr>
              <w:t xml:space="preserve">Storage key and extracted text only</w:t>
            </w:r>
          </w:p>
        </w:tc>
      </w:tr>
      <w:tr>
        <w:tc>
          <w:tcPr>
            <w:tcW w:type="dxa" w:w="3200"/>
            <w:tcMar>
              <w:top w:type="dxa" w:w="90"/>
              <w:left w:type="dxa" w:w="130"/>
              <w:bottom w:type="dxa" w:w="90"/>
              <w:right w:type="dxa" w:w="130"/>
            </w:tcMar>
          </w:tcPr>
          <w:p>
            <w:r>
              <w:rPr>
                <w:sz w:val="20"/>
                <w:szCs w:val="20"/>
              </w:rPr>
              <w:t xml:space="preserve">Original uploaded PDF</w:t>
            </w:r>
          </w:p>
        </w:tc>
        <w:tc>
          <w:tcPr>
            <w:tcW w:type="dxa" w:w="3080"/>
            <w:tcMar>
              <w:top w:type="dxa" w:w="90"/>
              <w:left w:type="dxa" w:w="130"/>
              <w:bottom w:type="dxa" w:w="90"/>
              <w:right w:type="dxa" w:w="130"/>
            </w:tcMar>
          </w:tcPr>
          <w:p>
            <w:r>
              <w:rPr>
                <w:b/>
                <w:bCs/>
                <w:color w:val="B23A33"/>
                <w:sz w:val="20"/>
                <w:szCs w:val="20"/>
              </w:rPr>
              <w:t xml:space="preserve">Not retained</w:t>
            </w:r>
          </w:p>
        </w:tc>
        <w:tc>
          <w:tcPr>
            <w:tcW w:type="dxa" w:w="3080"/>
            <w:tcMar>
              <w:top w:type="dxa" w:w="90"/>
              <w:left w:type="dxa" w:w="130"/>
              <w:bottom w:type="dxa" w:w="90"/>
              <w:right w:type="dxa" w:w="130"/>
            </w:tcMar>
          </w:tcPr>
          <w:p>
            <w:r>
              <w:rPr>
                <w:b/>
                <w:bCs/>
                <w:color w:val="B23A33"/>
                <w:sz w:val="20"/>
                <w:szCs w:val="20"/>
              </w:rPr>
              <w:t xml:space="preserve">Not retained</w:t>
            </w:r>
          </w:p>
        </w:tc>
      </w:tr>
      <w:tr>
        <w:tc>
          <w:tcPr>
            <w:tcW w:type="dxa" w:w="3200"/>
            <w:tcMar>
              <w:top w:type="dxa" w:w="90"/>
              <w:left w:type="dxa" w:w="130"/>
              <w:bottom w:type="dxa" w:w="90"/>
              <w:right w:type="dxa" w:w="130"/>
            </w:tcMar>
          </w:tcPr>
          <w:p>
            <w:r>
              <w:rPr>
                <w:sz w:val="20"/>
                <w:szCs w:val="20"/>
              </w:rPr>
              <w:t xml:space="preserve">Answer-key spreadsheets</w:t>
            </w:r>
          </w:p>
        </w:tc>
        <w:tc>
          <w:tcPr>
            <w:tcW w:type="dxa" w:w="3080"/>
            <w:tcMar>
              <w:top w:type="dxa" w:w="90"/>
              <w:left w:type="dxa" w:w="130"/>
              <w:bottom w:type="dxa" w:w="90"/>
              <w:right w:type="dxa" w:w="130"/>
            </w:tcMar>
          </w:tcPr>
          <w:p>
            <w:r>
              <w:rPr>
                <w:b/>
                <w:bCs/>
                <w:color w:val="B23A33"/>
                <w:sz w:val="20"/>
                <w:szCs w:val="20"/>
              </w:rPr>
              <w:t xml:space="preserve">Not retained</w:t>
            </w:r>
          </w:p>
        </w:tc>
        <w:tc>
          <w:tcPr>
            <w:tcW w:type="dxa" w:w="3080"/>
            <w:tcMar>
              <w:top w:type="dxa" w:w="90"/>
              <w:left w:type="dxa" w:w="130"/>
              <w:bottom w:type="dxa" w:w="90"/>
              <w:right w:type="dxa" w:w="130"/>
            </w:tcMar>
          </w:tcPr>
          <w:p>
            <w:r>
              <w:rPr>
                <w:sz w:val="20"/>
                <w:szCs w:val="20"/>
              </w:rPr>
              <w:t xml:space="preserve">Parsed values only</w:t>
            </w:r>
          </w:p>
        </w:tc>
      </w:tr>
      <w:tr>
        <w:tc>
          <w:tcPr>
            <w:tcW w:type="dxa" w:w="3200"/>
            <w:tcMar>
              <w:top w:type="dxa" w:w="90"/>
              <w:left w:type="dxa" w:w="130"/>
              <w:bottom w:type="dxa" w:w="90"/>
              <w:right w:type="dxa" w:w="130"/>
            </w:tcMar>
          </w:tcPr>
          <w:p>
            <w:r>
              <w:rPr>
                <w:sz w:val="20"/>
                <w:szCs w:val="20"/>
              </w:rPr>
              <w:t xml:space="preserve">Question-bank spreadsheets</w:t>
            </w:r>
          </w:p>
        </w:tc>
        <w:tc>
          <w:tcPr>
            <w:tcW w:type="dxa" w:w="3080"/>
            <w:tcMar>
              <w:top w:type="dxa" w:w="90"/>
              <w:left w:type="dxa" w:w="130"/>
              <w:bottom w:type="dxa" w:w="90"/>
              <w:right w:type="dxa" w:w="130"/>
            </w:tcMar>
          </w:tcPr>
          <w:p>
            <w:r>
              <w:rPr>
                <w:b/>
                <w:bCs/>
                <w:color w:val="B23A33"/>
                <w:sz w:val="20"/>
                <w:szCs w:val="20"/>
              </w:rPr>
              <w:t xml:space="preserve">Not retained</w:t>
            </w:r>
          </w:p>
        </w:tc>
        <w:tc>
          <w:tcPr>
            <w:tcW w:type="dxa" w:w="3080"/>
            <w:tcMar>
              <w:top w:type="dxa" w:w="90"/>
              <w:left w:type="dxa" w:w="130"/>
              <w:bottom w:type="dxa" w:w="90"/>
              <w:right w:type="dxa" w:w="130"/>
            </w:tcMar>
          </w:tcPr>
          <w:p>
            <w:r>
              <w:rPr>
                <w:sz w:val="20"/>
                <w:szCs w:val="20"/>
              </w:rPr>
              <w:t xml:space="preserve">Parsed rows only</w:t>
            </w:r>
          </w:p>
        </w:tc>
      </w:tr>
      <w:tr>
        <w:tc>
          <w:tcPr>
            <w:tcW w:type="dxa" w:w="3200"/>
            <w:tcMar>
              <w:top w:type="dxa" w:w="90"/>
              <w:left w:type="dxa" w:w="130"/>
              <w:bottom w:type="dxa" w:w="90"/>
              <w:right w:type="dxa" w:w="130"/>
            </w:tcMar>
          </w:tcPr>
          <w:p>
            <w:r>
              <w:rPr>
                <w:sz w:val="20"/>
                <w:szCs w:val="20"/>
              </w:rPr>
              <w:t xml:space="preserve">Everything else</w:t>
            </w:r>
          </w:p>
        </w:tc>
        <w:tc>
          <w:tcPr>
            <w:tcW w:type="dxa" w:w="3080"/>
            <w:tcMar>
              <w:top w:type="dxa" w:w="90"/>
              <w:left w:type="dxa" w:w="130"/>
              <w:bottom w:type="dxa" w:w="90"/>
              <w:right w:type="dxa" w:w="130"/>
            </w:tcMar>
          </w:tcPr>
          <w:p>
            <w:r>
              <w:rPr>
                <w:sz w:val="20"/>
                <w:szCs w:val="20"/>
              </w:rPr>
              <w:t xml:space="preserve">No</w:t>
            </w:r>
          </w:p>
        </w:tc>
        <w:tc>
          <w:tcPr>
            <w:tcW w:type="dxa" w:w="3080"/>
            <w:tcMar>
              <w:top w:type="dxa" w:w="90"/>
              <w:left w:type="dxa" w:w="130"/>
              <w:bottom w:type="dxa" w:w="90"/>
              <w:right w:type="dxa" w:w="130"/>
            </w:tcMar>
          </w:tcPr>
          <w:p>
            <w:r>
              <w:rPr>
                <w:sz w:val="20"/>
                <w:szCs w:val="20"/>
              </w:rPr>
              <w:t xml:space="preserve">Yes</w:t>
            </w:r>
          </w:p>
        </w:tc>
      </w:tr>
    </w:tbl>
    <w:p>
      <w:pPr>
        <w:spacing w:after="120" w:line="280"/>
      </w:pPr>
      <w:r>
        <w:rPr>
          <w:sz w:val="21"/>
          <w:szCs w:val="21"/>
        </w:rPr>
        <w:t xml:space="preserve">The headline for the migration: </w:t>
      </w:r>
      <w:r>
        <w:rPr>
          <w:b/>
          <w:bCs/>
          <w:sz w:val="21"/>
          <w:szCs w:val="21"/>
        </w:rPr>
        <w:t xml:space="preserve">chart images must be migrated separately from the database, and no uploaded spreadsheet needs migrating at all</w:t>
      </w:r>
      <w:r>
        <w:rPr>
          <w:sz w:val="21"/>
          <w:szCs w:val="21"/>
        </w:rPr>
        <w:t xml:space="preserve"> — because none of them were ever kept.</w:t>
      </w:r>
    </w:p>
    <w:p>
      <w:pPr>
        <w:pStyle w:val="Heading2"/>
        <w:spacing w:after="120" w:before="280"/>
      </w:pPr>
      <w:r>
        <w:rPr>
          <w:b/>
          <w:bCs/>
          <w:color w:val="1F3864"/>
          <w:sz w:val="24"/>
          <w:szCs w:val="24"/>
        </w:rPr>
        <w:t xml:space="preserve">2.1 Charts</w:t>
      </w:r>
    </w:p>
    <w:p>
      <w:pPr>
        <w:pStyle w:val="Heading3"/>
        <w:spacing w:after="100" w:before="200"/>
      </w:pPr>
      <w:r>
        <w:rPr>
          <w:b/>
          <w:bCs/>
          <w:color w:val="2E75B6"/>
          <w:sz w:val="22"/>
          <w:szCs w:val="22"/>
        </w:rPr>
        <w:t xml:space="preserve">What happens on upload</w:t>
      </w:r>
    </w:p>
    <w:p>
      <w:pPr>
        <w:spacing w:after="120" w:line="280"/>
      </w:pPr>
      <w:r>
        <w:rPr>
          <w:sz w:val="21"/>
          <w:szCs w:val="21"/>
        </w:rPr>
        <w:t xml:space="preserve">A trainer uploads a PDF, image or Word document. The application does not store that file. It converts it:</w:t>
      </w:r>
    </w:p>
    <w:p>
      <w:pPr>
        <w:pBdr>
          <w:left w:val="single" w:color="2E75B6" w:sz="12" w:space="6"/>
        </w:pBdr>
        <w:shd w:fill="F2F2F2" w:val="clear"/>
        <w:spacing w:after="140" w:before="100" w:line="260"/>
        <w:ind w:left="120"/>
      </w:pPr>
      <w:r>
        <w:rPr>
          <w:rFonts w:ascii="Consolas" w:cs="Consolas" w:eastAsia="Consolas" w:hAnsi="Consolas"/>
          <w:sz w:val="18"/>
          <w:szCs w:val="18"/>
        </w:rPr>
        <w:t xml:space="preserve">upload.pdf   →   page 1 PNG,  page 2 PNG,  page 3 PNG  …</w:t>
      </w:r>
    </w:p>
    <w:p>
      <w:pPr>
        <w:pStyle w:val="ListParagraph"/>
        <w:numPr>
          <w:ilvl w:val="0"/>
          <w:numId w:val="2"/>
        </w:numPr>
        <w:spacing w:after="80" w:line="280"/>
      </w:pPr>
      <w:r>
        <w:rPr>
          <w:sz w:val="21"/>
          <w:szCs w:val="21"/>
        </w:rPr>
        <w:t xml:space="preserve">PDFs are rendered page-by-page to PNG at 1.7× scale</w:t>
      </w:r>
    </w:p>
    <w:p>
      <w:pPr>
        <w:pStyle w:val="ListParagraph"/>
        <w:numPr>
          <w:ilvl w:val="0"/>
          <w:numId w:val="2"/>
        </w:numPr>
        <w:spacing w:after="80" w:line="280"/>
      </w:pPr>
      <w:r>
        <w:rPr>
          <w:sz w:val="21"/>
          <w:szCs w:val="21"/>
        </w:rPr>
        <w:t xml:space="preserve">Images (png, jpg, tiff, bmp, webp) are converted to PNG</w:t>
      </w:r>
    </w:p>
    <w:p>
      <w:pPr>
        <w:pStyle w:val="ListParagraph"/>
        <w:numPr>
          <w:ilvl w:val="0"/>
          <w:numId w:val="2"/>
        </w:numPr>
        <w:spacing w:after="80" w:line="280"/>
      </w:pPr>
      <w:r>
        <w:rPr>
          <w:sz w:val="21"/>
          <w:szCs w:val="21"/>
        </w:rPr>
        <w:t xml:space="preserve">Word documents are rendered to page images</w:t>
      </w:r>
    </w:p>
    <w:p>
      <w:pPr>
        <w:pStyle w:val="ListParagraph"/>
        <w:numPr>
          <w:ilvl w:val="0"/>
          <w:numId w:val="2"/>
        </w:numPr>
        <w:spacing w:after="80" w:line="280"/>
      </w:pPr>
      <w:r>
        <w:rPr>
          <w:sz w:val="21"/>
          <w:szCs w:val="21"/>
        </w:rPr>
        <w:t xml:space="preserve">Anything else is rejected</w:t>
      </w:r>
    </w:p>
    <w:p>
      <w:pPr>
        <w:spacing w:after="120" w:line="280"/>
      </w:pPr>
      <w:r>
        <w:rPr>
          <w:sz w:val="21"/>
          <w:szCs w:val="21"/>
        </w:rPr>
        <w:t xml:space="preserve">Each resulting page is uploaded to object storage. The original file is discarded once conversion completes.</w:t>
      </w:r>
    </w:p>
    <w:tbl>
      <w:tblPr>
        <w:tblW w:type="dxa" w:w="9360"/>
        <w:tblBorders>
          <w:top w:val="single" w:color="E8A33D" w:sz="4"/>
          <w:left w:val="single" w:color="E8A33D" w:sz="18"/>
          <w:bottom w:val="single" w:color="E8A33D" w:sz="4"/>
          <w:right w:val="single" w:color="E8A33D" w:sz="4"/>
          <w:insideH w:val="single" w:color="auto" w:sz="4"/>
          <w:insideV w:val="single" w:color="auto" w:sz="4"/>
        </w:tblBorders>
      </w:tblPr>
      <w:tblGrid>
        <w:gridCol w:w="9360"/>
      </w:tblGrid>
      <w:tr>
        <w:tc>
          <w:tcPr>
            <w:tcW w:type="dxa" w:w="9360"/>
            <w:shd w:fill="FFF4E5" w:val="clear"/>
            <w:tcMar>
              <w:top w:type="dxa" w:w="140"/>
              <w:left w:type="dxa" w:w="180"/>
              <w:bottom w:type="dxa" w:w="140"/>
              <w:right w:type="dxa" w:w="180"/>
            </w:tcMar>
          </w:tcPr>
          <w:p>
            <w:pPr>
              <w:spacing w:after="80"/>
            </w:pPr>
            <w:r>
              <w:rPr>
                <w:b/>
                <w:bCs/>
                <w:color w:val="8A5A00"/>
                <w:sz w:val="21"/>
                <w:szCs w:val="21"/>
              </w:rPr>
              <w:t xml:space="preserve">There is no archive of source PDFs anywhere in the system</w:t>
            </w:r>
          </w:p>
          <w:p>
            <w:pPr>
              <w:spacing w:after="60" w:line="280"/>
            </w:pPr>
            <w:r>
              <w:rPr>
                <w:sz w:val="21"/>
                <w:szCs w:val="21"/>
              </w:rPr>
              <w:t xml:space="preserve">The page images in object storage ARE the charts.</w:t>
            </w:r>
          </w:p>
          <w:p>
            <w:pPr>
              <w:spacing w:after="60" w:line="280"/>
            </w:pPr>
            <w:r>
              <w:rPr>
                <w:b/>
                <w:bCs/>
                <w:sz w:val="21"/>
                <w:szCs w:val="21"/>
              </w:rPr>
              <w:t xml:space="preserve">Losing that bucket means losing every chart, and no database backup will bring them back.</w:t>
            </w:r>
          </w:p>
        </w:tc>
      </w:tr>
    </w:tbl>
    <w:p>
      <w:pPr>
        <w:pStyle w:val="Heading3"/>
        <w:spacing w:after="100" w:before="200"/>
      </w:pPr>
      <w:r>
        <w:rPr>
          <w:b/>
          <w:bCs/>
          <w:color w:val="2E75B6"/>
          <w:sz w:val="22"/>
          <w:szCs w:val="22"/>
        </w:rPr>
        <w:t xml:space="preserve">Storage key format</w:t>
      </w:r>
    </w:p>
    <w:p>
      <w:pPr>
        <w:pBdr>
          <w:left w:val="single" w:color="2E75B6" w:sz="12" w:space="6"/>
        </w:pBdr>
        <w:shd w:fill="F2F2F2" w:val="clear"/>
        <w:spacing w:after="140" w:before="100" w:line="260"/>
        <w:ind w:left="120"/>
      </w:pPr>
      <w:r>
        <w:rPr>
          <w:rFonts w:ascii="Consolas" w:cs="Consolas" w:eastAsia="Consolas" w:hAnsi="Consolas"/>
          <w:sz w:val="18"/>
          <w:szCs w:val="18"/>
        </w:rPr>
        <w:t xml:space="preserve">charts/{chart_id}/{page_order:04d}_{original_filename}.png</w:t>
      </w:r>
      <w:r>
        <w:br/>
      </w:r>
      <w:r>
        <w:rPr>
          <w:rFonts w:ascii="Consolas" w:cs="Consolas" w:eastAsia="Consolas" w:hAnsi="Consolas"/>
          <w:sz w:val="18"/>
          <w:szCs w:val="18"/>
        </w:rPr>
        <w:t xml:space="preserve"/>
      </w:r>
      <w:r>
        <w:br/>
      </w:r>
      <w:r>
        <w:rPr>
          <w:rFonts w:ascii="Consolas" w:cs="Consolas" w:eastAsia="Consolas" w:hAnsi="Consolas"/>
          <w:sz w:val="18"/>
          <w:szCs w:val="18"/>
        </w:rPr>
        <w:t xml:space="preserve">example:  charts/142/0000_Discharge Summary.pdf.png</w:t>
      </w:r>
    </w:p>
    <w:p>
      <w:pPr>
        <w:spacing w:after="120" w:line="280"/>
      </w:pPr>
      <w:r>
        <w:rPr>
          <w:sz w:val="21"/>
          <w:szCs w:val="21"/>
        </w:rPr>
        <w:t xml:space="preserve">The key contains the numeric </w:t>
      </w:r>
      <w:r>
        <w:rPr>
          <w:rFonts w:ascii="Consolas" w:cs="Consolas" w:eastAsia="Consolas" w:hAnsi="Consolas"/>
          <w:color w:val="9C27B0"/>
          <w:sz w:val="19"/>
          <w:szCs w:val="19"/>
        </w:rPr>
        <w:t xml:space="preserve">chart_id</w:t>
      </w:r>
      <w:r>
        <w:rPr>
          <w:sz w:val="21"/>
          <w:szCs w:val="21"/>
        </w:rPr>
        <w:t xml:space="preserve">, not the human chart number (</w:t>
      </w:r>
      <w:r>
        <w:rPr>
          <w:rFonts w:ascii="Consolas" w:cs="Consolas" w:eastAsia="Consolas" w:hAnsi="Consolas"/>
          <w:color w:val="9C27B0"/>
          <w:sz w:val="19"/>
          <w:szCs w:val="19"/>
        </w:rPr>
        <w:t xml:space="preserve">IP001</w:t>
      </w:r>
      <w:r>
        <w:rPr>
          <w:sz w:val="21"/>
          <w:szCs w:val="21"/>
        </w:rPr>
        <w:t xml:space="preserve">). Two consequences:</w:t>
      </w:r>
    </w:p>
    <w:p>
      <w:pPr>
        <w:pStyle w:val="ListParagraph"/>
        <w:numPr>
          <w:ilvl w:val="0"/>
          <w:numId w:val="2"/>
        </w:numPr>
        <w:spacing w:after="80" w:line="280"/>
      </w:pPr>
      <w:r>
        <w:rPr>
          <w:sz w:val="21"/>
          <w:szCs w:val="21"/>
        </w:rPr>
        <w:t xml:space="preserve">A straight bucket copy that preserves keys needs no database changes.</w:t>
      </w:r>
    </w:p>
    <w:p>
      <w:pPr>
        <w:pStyle w:val="ListParagraph"/>
        <w:numPr>
          <w:ilvl w:val="0"/>
          <w:numId w:val="2"/>
        </w:numPr>
        <w:spacing w:after="80" w:line="280"/>
      </w:pPr>
      <w:r>
        <w:rPr>
          <w:sz w:val="21"/>
          <w:szCs w:val="21"/>
        </w:rPr>
        <w:t xml:space="preserve">Renaming a chart in the interface does not move any files.</w:t>
      </w:r>
    </w:p>
    <w:p>
      <w:pPr>
        <w:pStyle w:val="Heading3"/>
        <w:spacing w:after="100" w:before="200"/>
      </w:pPr>
      <w:r>
        <w:rPr>
          <w:b/>
          <w:bCs/>
          <w:color w:val="2E75B6"/>
          <w:sz w:val="22"/>
          <w:szCs w:val="22"/>
        </w:rPr>
        <w:t xml:space="preserve">What PostgreSQL holds</w:t>
      </w:r>
    </w:p>
    <w:p>
      <w:pPr>
        <w:spacing w:after="120" w:line="280"/>
      </w:pPr>
      <w:r>
        <w:rPr>
          <w:rFonts w:ascii="Consolas" w:cs="Consolas" w:eastAsia="Consolas" w:hAnsi="Consolas"/>
          <w:color w:val="9C27B0"/>
          <w:sz w:val="19"/>
          <w:szCs w:val="19"/>
        </w:rPr>
        <w:t xml:space="preserve">chart_files</w:t>
      </w:r>
      <w:r>
        <w:rPr>
          <w:sz w:val="21"/>
          <w:szCs w:val="21"/>
        </w:rPr>
        <w:t xml:space="preserve"> — one row per page:</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600"/>
        <w:gridCol w:w="5760"/>
      </w:tblGrid>
      <w:tr>
        <w:trPr>
          <w:tblHeader/>
        </w:trPr>
        <w:tc>
          <w:tcPr>
            <w:tcW w:type="dxa" w:w="3600"/>
            <w:shd w:fill="DCE6F1" w:val="clear"/>
            <w:tcMar>
              <w:top w:type="dxa" w:w="90"/>
              <w:left w:type="dxa" w:w="130"/>
              <w:bottom w:type="dxa" w:w="90"/>
              <w:right w:type="dxa" w:w="130"/>
            </w:tcMar>
          </w:tcPr>
          <w:p>
            <w:r>
              <w:rPr>
                <w:b/>
                <w:bCs/>
                <w:color w:val="1F3864"/>
                <w:sz w:val="20"/>
                <w:szCs w:val="20"/>
              </w:rPr>
              <w:t xml:space="preserve">Column</w:t>
            </w:r>
          </w:p>
        </w:tc>
        <w:tc>
          <w:tcPr>
            <w:tcW w:type="dxa" w:w="5760"/>
            <w:shd w:fill="DCE6F1" w:val="clear"/>
            <w:tcMar>
              <w:top w:type="dxa" w:w="90"/>
              <w:left w:type="dxa" w:w="130"/>
              <w:bottom w:type="dxa" w:w="90"/>
              <w:right w:type="dxa" w:w="130"/>
            </w:tcMar>
          </w:tcPr>
          <w:p>
            <w:r>
              <w:rPr>
                <w:b/>
                <w:bCs/>
                <w:color w:val="1F3864"/>
                <w:sz w:val="20"/>
                <w:szCs w:val="20"/>
              </w:rPr>
              <w:t xml:space="preserve">Contents</w:t>
            </w:r>
          </w:p>
        </w:tc>
      </w:tr>
      <w:tr>
        <w:tc>
          <w:tcPr>
            <w:tcW w:type="dxa" w:w="3600"/>
            <w:tcMar>
              <w:top w:type="dxa" w:w="90"/>
              <w:left w:type="dxa" w:w="130"/>
              <w:bottom w:type="dxa" w:w="90"/>
              <w:right w:type="dxa" w:w="130"/>
            </w:tcMar>
          </w:tcPr>
          <w:p>
            <w:r>
              <w:rPr>
                <w:rFonts w:ascii="Consolas" w:cs="Consolas" w:eastAsia="Consolas" w:hAnsi="Consolas"/>
                <w:sz w:val="18"/>
                <w:szCs w:val="18"/>
              </w:rPr>
              <w:t xml:space="preserve">storage_key</w:t>
            </w:r>
          </w:p>
        </w:tc>
        <w:tc>
          <w:tcPr>
            <w:tcW w:type="dxa" w:w="5760"/>
            <w:tcMar>
              <w:top w:type="dxa" w:w="90"/>
              <w:left w:type="dxa" w:w="130"/>
              <w:bottom w:type="dxa" w:w="90"/>
              <w:right w:type="dxa" w:w="130"/>
            </w:tcMar>
          </w:tcPr>
          <w:p>
            <w:r>
              <w:rPr>
                <w:sz w:val="20"/>
                <w:szCs w:val="20"/>
              </w:rPr>
              <w:t xml:space="preserve">Path into the bucket (above)</w:t>
            </w:r>
          </w:p>
        </w:tc>
      </w:tr>
      <w:tr>
        <w:tc>
          <w:tcPr>
            <w:tcW w:type="dxa" w:w="3600"/>
            <w:tcMar>
              <w:top w:type="dxa" w:w="90"/>
              <w:left w:type="dxa" w:w="130"/>
              <w:bottom w:type="dxa" w:w="90"/>
              <w:right w:type="dxa" w:w="130"/>
            </w:tcMar>
          </w:tcPr>
          <w:p>
            <w:r>
              <w:rPr>
                <w:rFonts w:ascii="Consolas" w:cs="Consolas" w:eastAsia="Consolas" w:hAnsi="Consolas"/>
                <w:sz w:val="18"/>
                <w:szCs w:val="18"/>
              </w:rPr>
              <w:t xml:space="preserve">page_order</w:t>
            </w:r>
          </w:p>
        </w:tc>
        <w:tc>
          <w:tcPr>
            <w:tcW w:type="dxa" w:w="5760"/>
            <w:tcMar>
              <w:top w:type="dxa" w:w="90"/>
              <w:left w:type="dxa" w:w="130"/>
              <w:bottom w:type="dxa" w:w="90"/>
              <w:right w:type="dxa" w:w="130"/>
            </w:tcMar>
          </w:tcPr>
          <w:p>
            <w:r>
              <w:rPr>
                <w:sz w:val="20"/>
                <w:szCs w:val="20"/>
              </w:rPr>
              <w:t xml:space="preserve">Page sequence</w:t>
            </w:r>
          </w:p>
        </w:tc>
      </w:tr>
      <w:tr>
        <w:tc>
          <w:tcPr>
            <w:tcW w:type="dxa" w:w="3600"/>
            <w:tcMar>
              <w:top w:type="dxa" w:w="90"/>
              <w:left w:type="dxa" w:w="130"/>
              <w:bottom w:type="dxa" w:w="90"/>
              <w:right w:type="dxa" w:w="130"/>
            </w:tcMar>
          </w:tcPr>
          <w:p>
            <w:r>
              <w:rPr>
                <w:rFonts w:ascii="Consolas" w:cs="Consolas" w:eastAsia="Consolas" w:hAnsi="Consolas"/>
                <w:sz w:val="18"/>
                <w:szCs w:val="18"/>
              </w:rPr>
              <w:t xml:space="preserve">page_text</w:t>
            </w:r>
          </w:p>
        </w:tc>
        <w:tc>
          <w:tcPr>
            <w:tcW w:type="dxa" w:w="5760"/>
            <w:tcMar>
              <w:top w:type="dxa" w:w="90"/>
              <w:left w:type="dxa" w:w="130"/>
              <w:bottom w:type="dxa" w:w="90"/>
              <w:right w:type="dxa" w:w="130"/>
            </w:tcMar>
          </w:tcPr>
          <w:p>
            <w:r>
              <w:rPr>
                <w:sz w:val="20"/>
                <w:szCs w:val="20"/>
              </w:rPr>
              <w:t xml:space="preserve">Text extracted at upload, used for in-chart search</w:t>
            </w:r>
          </w:p>
        </w:tc>
      </w:tr>
      <w:tr>
        <w:tc>
          <w:tcPr>
            <w:tcW w:type="dxa" w:w="3600"/>
            <w:tcMar>
              <w:top w:type="dxa" w:w="90"/>
              <w:left w:type="dxa" w:w="130"/>
              <w:bottom w:type="dxa" w:w="90"/>
              <w:right w:type="dxa" w:w="130"/>
            </w:tcMar>
          </w:tcPr>
          <w:p>
            <w:r>
              <w:rPr>
                <w:rFonts w:ascii="Consolas" w:cs="Consolas" w:eastAsia="Consolas" w:hAnsi="Consolas"/>
                <w:sz w:val="18"/>
                <w:szCs w:val="18"/>
              </w:rPr>
              <w:t xml:space="preserve">original_filename, total_pages, uploaded_by</w:t>
            </w:r>
          </w:p>
        </w:tc>
        <w:tc>
          <w:tcPr>
            <w:tcW w:type="dxa" w:w="5760"/>
            <w:tcMar>
              <w:top w:type="dxa" w:w="90"/>
              <w:left w:type="dxa" w:w="130"/>
              <w:bottom w:type="dxa" w:w="90"/>
              <w:right w:type="dxa" w:w="130"/>
            </w:tcMar>
          </w:tcPr>
          <w:p>
            <w:r>
              <w:rPr>
                <w:sz w:val="20"/>
                <w:szCs w:val="20"/>
              </w:rPr>
              <w:t xml:space="preserve">Metadata</w:t>
            </w:r>
          </w:p>
        </w:tc>
      </w:tr>
    </w:tbl>
    <w:p>
      <w:pPr>
        <w:spacing w:after="120" w:line="280"/>
      </w:pPr>
      <w:r>
        <w:rPr>
          <w:rFonts w:ascii="Consolas" w:cs="Consolas" w:eastAsia="Consolas" w:hAnsi="Consolas"/>
          <w:color w:val="9C27B0"/>
          <w:sz w:val="19"/>
          <w:szCs w:val="19"/>
        </w:rPr>
        <w:t xml:space="preserve">charts</w:t>
      </w:r>
      <w:r>
        <w:rPr>
          <w:sz w:val="21"/>
          <w:szCs w:val="21"/>
        </w:rPr>
        <w:t xml:space="preserve"> — one row per chart: number, alias, specialty, category, difficulty, status, rationale, view count, uploader.</w:t>
      </w:r>
    </w:p>
    <w:p>
      <w:pPr>
        <w:pStyle w:val="Heading3"/>
        <w:spacing w:after="100" w:before="200"/>
      </w:pPr>
      <w:r>
        <w:rPr>
          <w:b/>
          <w:bCs/>
          <w:color w:val="2E75B6"/>
          <w:sz w:val="22"/>
          <w:szCs w:val="22"/>
        </w:rPr>
        <w:t xml:space="preserve">How pages reach the browser</w:t>
      </w:r>
    </w:p>
    <w:p>
      <w:pPr>
        <w:spacing w:after="120" w:line="280"/>
      </w:pPr>
      <w:r>
        <w:rPr>
          <w:b/>
          <w:bCs/>
          <w:sz w:val="21"/>
          <w:szCs w:val="21"/>
        </w:rPr>
        <w:t xml:space="preserve">The API proxies every image. The browser never contacts the storage bucket.</w:t>
      </w:r>
    </w:p>
    <w:p>
      <w:pPr>
        <w:pBdr>
          <w:left w:val="single" w:color="2E75B6" w:sz="12" w:space="6"/>
        </w:pBdr>
        <w:shd w:fill="F2F2F2" w:val="clear"/>
        <w:spacing w:after="140" w:before="100" w:line="260"/>
        <w:ind w:left="120"/>
      </w:pPr>
      <w:r>
        <w:rPr>
          <w:rFonts w:ascii="Consolas" w:cs="Consolas" w:eastAsia="Consolas" w:hAnsi="Consolas"/>
          <w:sz w:val="18"/>
          <w:szCs w:val="18"/>
        </w:rPr>
        <w:t xml:space="preserve">browser  →  GET /charts/142/page/0  →  API  →  fetches from bucket  →  streams bytes back</w:t>
      </w:r>
    </w:p>
    <w:p>
      <w:pPr>
        <w:spacing w:after="120" w:line="280"/>
      </w:pPr>
      <w:r>
        <w:rPr>
          <w:rFonts w:ascii="Consolas" w:cs="Consolas" w:eastAsia="Consolas" w:hAnsi="Consolas"/>
          <w:color w:val="9C27B0"/>
          <w:sz w:val="19"/>
          <w:szCs w:val="19"/>
        </w:rPr>
        <w:t xml:space="preserve">proxy_chart_page</w:t>
      </w:r>
      <w:r>
        <w:rPr>
          <w:sz w:val="21"/>
          <w:szCs w:val="21"/>
        </w:rPr>
        <w:t xml:space="preserve"> in </w:t>
      </w:r>
      <w:r>
        <w:rPr>
          <w:rFonts w:ascii="Consolas" w:cs="Consolas" w:eastAsia="Consolas" w:hAnsi="Consolas"/>
          <w:color w:val="9C27B0"/>
          <w:sz w:val="19"/>
          <w:szCs w:val="19"/>
        </w:rPr>
        <w:t xml:space="preserve">routers/charts.py</w:t>
      </w:r>
      <w:r>
        <w:rPr>
          <w:sz w:val="21"/>
          <w:szCs w:val="21"/>
        </w:rPr>
        <w:t xml:space="preserve"> calls </w:t>
      </w:r>
      <w:r>
        <w:rPr>
          <w:rFonts w:ascii="Consolas" w:cs="Consolas" w:eastAsia="Consolas" w:hAnsi="Consolas"/>
          <w:color w:val="9C27B0"/>
          <w:sz w:val="19"/>
          <w:szCs w:val="19"/>
        </w:rPr>
        <w:t xml:space="preserve">get_object()</w:t>
      </w:r>
      <w:r>
        <w:rPr>
          <w:sz w:val="21"/>
          <w:szCs w:val="21"/>
        </w:rPr>
        <w:t xml:space="preserve"> server-side and returns a streaming response. The browser only ever sees an API URL.</w:t>
      </w:r>
    </w:p>
    <w:p>
      <w:pPr>
        <w:spacing w:after="120" w:line="280"/>
      </w:pPr>
      <w:r>
        <w:rPr>
          <w:sz w:val="21"/>
          <w:szCs w:val="21"/>
        </w:rPr>
        <w:t xml:space="preserve">This has real consequences for the internal deployment:</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5360"/>
        <w:gridCol w:w="4000"/>
      </w:tblGrid>
      <w:tr>
        <w:trPr>
          <w:tblHeader/>
        </w:trPr>
        <w:tc>
          <w:tcPr>
            <w:tcW w:type="dxa" w:w="5360"/>
            <w:shd w:fill="DCE6F1" w:val="clear"/>
            <w:tcMar>
              <w:top w:type="dxa" w:w="90"/>
              <w:left w:type="dxa" w:w="130"/>
              <w:bottom w:type="dxa" w:w="90"/>
              <w:right w:type="dxa" w:w="130"/>
            </w:tcMar>
          </w:tcPr>
          <w:p>
            <w:r>
              <w:rPr>
                <w:b/>
                <w:bCs/>
                <w:color w:val="1F3864"/>
                <w:sz w:val="20"/>
                <w:szCs w:val="20"/>
              </w:rPr>
              <w:t xml:space="preserve">Question</w:t>
            </w:r>
          </w:p>
        </w:tc>
        <w:tc>
          <w:tcPr>
            <w:tcW w:type="dxa" w:w="4000"/>
            <w:shd w:fill="DCE6F1" w:val="clear"/>
            <w:tcMar>
              <w:top w:type="dxa" w:w="90"/>
              <w:left w:type="dxa" w:w="130"/>
              <w:bottom w:type="dxa" w:w="90"/>
              <w:right w:type="dxa" w:w="130"/>
            </w:tcMar>
          </w:tcPr>
          <w:p>
            <w:r>
              <w:rPr>
                <w:b/>
                <w:bCs/>
                <w:color w:val="1F3864"/>
                <w:sz w:val="20"/>
                <w:szCs w:val="20"/>
              </w:rPr>
              <w:t xml:space="preserve">Answer</w:t>
            </w:r>
          </w:p>
        </w:tc>
      </w:tr>
      <w:tr>
        <w:tc>
          <w:tcPr>
            <w:tcW w:type="dxa" w:w="5360"/>
            <w:tcMar>
              <w:top w:type="dxa" w:w="90"/>
              <w:left w:type="dxa" w:w="130"/>
              <w:bottom w:type="dxa" w:w="90"/>
              <w:right w:type="dxa" w:w="130"/>
            </w:tcMar>
          </w:tcPr>
          <w:p>
            <w:r>
              <w:rPr>
                <w:sz w:val="20"/>
                <w:szCs w:val="20"/>
              </w:rPr>
              <w:t xml:space="preserve">Does the front end query storage?</w:t>
            </w:r>
          </w:p>
        </w:tc>
        <w:tc>
          <w:tcPr>
            <w:tcW w:type="dxa" w:w="4000"/>
            <w:tcMar>
              <w:top w:type="dxa" w:w="90"/>
              <w:left w:type="dxa" w:w="130"/>
              <w:bottom w:type="dxa" w:w="90"/>
              <w:right w:type="dxa" w:w="130"/>
            </w:tcMar>
          </w:tcPr>
          <w:p>
            <w:r>
              <w:rPr>
                <w:b/>
                <w:bCs/>
                <w:sz w:val="20"/>
                <w:szCs w:val="20"/>
              </w:rPr>
              <w:t xml:space="preserve">No.</w:t>
            </w:r>
            <w:r>
              <w:rPr>
                <w:sz w:val="20"/>
                <w:szCs w:val="20"/>
              </w:rPr>
              <w:t xml:space="preserve"> It requests an API path like any other endpoint</w:t>
            </w:r>
          </w:p>
        </w:tc>
      </w:tr>
      <w:tr>
        <w:tc>
          <w:tcPr>
            <w:tcW w:type="dxa" w:w="5360"/>
            <w:tcMar>
              <w:top w:type="dxa" w:w="90"/>
              <w:left w:type="dxa" w:w="130"/>
              <w:bottom w:type="dxa" w:w="90"/>
              <w:right w:type="dxa" w:w="130"/>
            </w:tcMar>
          </w:tcPr>
          <w:p>
            <w:r>
              <w:rPr>
                <w:sz w:val="20"/>
                <w:szCs w:val="20"/>
              </w:rPr>
              <w:t xml:space="preserve">Does the browser hold storage credentials?</w:t>
            </w:r>
          </w:p>
        </w:tc>
        <w:tc>
          <w:tcPr>
            <w:tcW w:type="dxa" w:w="4000"/>
            <w:tcMar>
              <w:top w:type="dxa" w:w="90"/>
              <w:left w:type="dxa" w:w="130"/>
              <w:bottom w:type="dxa" w:w="90"/>
              <w:right w:type="dxa" w:w="130"/>
            </w:tcMar>
          </w:tcPr>
          <w:p>
            <w:r>
              <w:rPr>
                <w:b/>
                <w:bCs/>
                <w:sz w:val="20"/>
                <w:szCs w:val="20"/>
              </w:rPr>
              <w:t xml:space="preserve">No.</w:t>
            </w:r>
            <w:r>
              <w:rPr>
                <w:sz w:val="20"/>
                <w:szCs w:val="20"/>
              </w:rPr>
              <w:t xml:space="preserve"> They exist only in the backend's environment</w:t>
            </w:r>
          </w:p>
        </w:tc>
      </w:tr>
      <w:tr>
        <w:tc>
          <w:tcPr>
            <w:tcW w:type="dxa" w:w="5360"/>
            <w:tcMar>
              <w:top w:type="dxa" w:w="90"/>
              <w:left w:type="dxa" w:w="130"/>
              <w:bottom w:type="dxa" w:w="90"/>
              <w:right w:type="dxa" w:w="130"/>
            </w:tcMar>
          </w:tcPr>
          <w:p>
            <w:r>
              <w:rPr>
                <w:sz w:val="20"/>
                <w:szCs w:val="20"/>
              </w:rPr>
              <w:t xml:space="preserve">Must the bucket be reachable from user browsers?</w:t>
            </w:r>
          </w:p>
        </w:tc>
        <w:tc>
          <w:tcPr>
            <w:tcW w:type="dxa" w:w="4000"/>
            <w:tcMar>
              <w:top w:type="dxa" w:w="90"/>
              <w:left w:type="dxa" w:w="130"/>
              <w:bottom w:type="dxa" w:w="90"/>
              <w:right w:type="dxa" w:w="130"/>
            </w:tcMar>
          </w:tcPr>
          <w:p>
            <w:r>
              <w:rPr>
                <w:b/>
                <w:bCs/>
                <w:sz w:val="20"/>
                <w:szCs w:val="20"/>
              </w:rPr>
              <w:t xml:space="preserve">No.</w:t>
            </w:r>
            <w:r>
              <w:rPr>
                <w:sz w:val="20"/>
                <w:szCs w:val="20"/>
              </w:rPr>
              <w:t xml:space="preserve"> Only from the backend</w:t>
            </w:r>
          </w:p>
        </w:tc>
      </w:tr>
      <w:tr>
        <w:tc>
          <w:tcPr>
            <w:tcW w:type="dxa" w:w="5360"/>
            <w:tcMar>
              <w:top w:type="dxa" w:w="90"/>
              <w:left w:type="dxa" w:w="130"/>
              <w:bottom w:type="dxa" w:w="90"/>
              <w:right w:type="dxa" w:w="130"/>
            </w:tcMar>
          </w:tcPr>
          <w:p>
            <w:r>
              <w:rPr>
                <w:sz w:val="20"/>
                <w:szCs w:val="20"/>
              </w:rPr>
              <w:t xml:space="preserve">Does the bucket need CORS configured?</w:t>
            </w:r>
          </w:p>
        </w:tc>
        <w:tc>
          <w:tcPr>
            <w:tcW w:type="dxa" w:w="4000"/>
            <w:tcMar>
              <w:top w:type="dxa" w:w="90"/>
              <w:left w:type="dxa" w:w="130"/>
              <w:bottom w:type="dxa" w:w="90"/>
              <w:right w:type="dxa" w:w="130"/>
            </w:tcMar>
          </w:tcPr>
          <w:p>
            <w:r>
              <w:rPr>
                <w:b/>
                <w:bCs/>
                <w:sz w:val="20"/>
                <w:szCs w:val="20"/>
              </w:rPr>
              <w:t xml:space="preserve">No</w:t>
            </w:r>
          </w:p>
        </w:tc>
      </w:tr>
      <w:tr>
        <w:tc>
          <w:tcPr>
            <w:tcW w:type="dxa" w:w="5360"/>
            <w:tcMar>
              <w:top w:type="dxa" w:w="90"/>
              <w:left w:type="dxa" w:w="130"/>
              <w:bottom w:type="dxa" w:w="90"/>
              <w:right w:type="dxa" w:w="130"/>
            </w:tcMar>
          </w:tcPr>
          <w:p>
            <w:r>
              <w:rPr>
                <w:sz w:val="20"/>
                <w:szCs w:val="20"/>
              </w:rPr>
              <w:t xml:space="preserve">Can the bucket be fully private / internal-network-only?</w:t>
            </w:r>
          </w:p>
        </w:tc>
        <w:tc>
          <w:tcPr>
            <w:tcW w:type="dxa" w:w="4000"/>
            <w:tcMar>
              <w:top w:type="dxa" w:w="90"/>
              <w:left w:type="dxa" w:w="130"/>
              <w:bottom w:type="dxa" w:w="90"/>
              <w:right w:type="dxa" w:w="130"/>
            </w:tcMar>
          </w:tcPr>
          <w:p>
            <w:r>
              <w:rPr>
                <w:b/>
                <w:bCs/>
                <w:sz w:val="20"/>
                <w:szCs w:val="20"/>
              </w:rPr>
              <w:t xml:space="preserve">Yes</w:t>
            </w:r>
          </w:p>
        </w:tc>
      </w:tr>
    </w:tbl>
    <w:tbl>
      <w:tblPr>
        <w:tblW w:type="dxa" w:w="9360"/>
        <w:tblBorders>
          <w:top w:val="single" w:color="E8A33D" w:sz="4"/>
          <w:left w:val="single" w:color="E8A33D" w:sz="18"/>
          <w:bottom w:val="single" w:color="E8A33D" w:sz="4"/>
          <w:right w:val="single" w:color="E8A33D" w:sz="4"/>
          <w:insideH w:val="single" w:color="auto" w:sz="4"/>
          <w:insideV w:val="single" w:color="auto" w:sz="4"/>
        </w:tblBorders>
      </w:tblPr>
      <w:tblGrid>
        <w:gridCol w:w="9360"/>
      </w:tblGrid>
      <w:tr>
        <w:tc>
          <w:tcPr>
            <w:tcW w:type="dxa" w:w="9360"/>
            <w:shd w:fill="FFF4E5" w:val="clear"/>
            <w:tcMar>
              <w:top w:type="dxa" w:w="140"/>
              <w:left w:type="dxa" w:w="180"/>
              <w:bottom w:type="dxa" w:w="140"/>
              <w:right w:type="dxa" w:w="180"/>
            </w:tcMar>
          </w:tcPr>
          <w:p>
            <w:pPr>
              <w:spacing w:after="80"/>
            </w:pPr>
            <w:r>
              <w:rPr>
                <w:b/>
                <w:bCs/>
                <w:color w:val="8A5A00"/>
                <w:sz w:val="21"/>
                <w:szCs w:val="21"/>
              </w:rPr>
              <w:t xml:space="preserve">Do not be misled by an unused helper</w:t>
            </w:r>
          </w:p>
          <w:p>
            <w:pPr>
              <w:spacing w:after="60" w:line="280"/>
            </w:pPr>
            <w:r>
              <w:rPr>
                <w:sz w:val="21"/>
                <w:szCs w:val="21"/>
              </w:rPr>
              <w:t xml:space="preserve">A </w:t>
            </w:r>
            <w:r>
              <w:rPr>
                <w:rFonts w:ascii="Consolas" w:cs="Consolas" w:eastAsia="Consolas" w:hAnsi="Consolas"/>
                <w:sz w:val="19"/>
                <w:szCs w:val="19"/>
              </w:rPr>
              <w:t xml:space="preserve">get_presigned_url()</w:t>
            </w:r>
            <w:r>
              <w:rPr>
                <w:sz w:val="21"/>
                <w:szCs w:val="21"/>
              </w:rPr>
              <w:t xml:space="preserve"> function exists in </w:t>
            </w:r>
            <w:r>
              <w:rPr>
                <w:rFonts w:ascii="Consolas" w:cs="Consolas" w:eastAsia="Consolas" w:hAnsi="Consolas"/>
                <w:sz w:val="19"/>
                <w:szCs w:val="19"/>
              </w:rPr>
              <w:t xml:space="preserve">services/storage.py</w:t>
            </w:r>
            <w:r>
              <w:rPr>
                <w:sz w:val="21"/>
                <w:szCs w:val="21"/>
              </w:rPr>
              <w:t xml:space="preserve"> and is imported, but is never called. Presigned URLs are not in use.</w:t>
            </w:r>
          </w:p>
          <w:p>
            <w:pPr>
              <w:spacing w:after="60" w:line="280"/>
            </w:pPr>
            <w:r>
              <w:rPr>
                <w:b/>
                <w:bCs/>
                <w:sz w:val="21"/>
                <w:szCs w:val="21"/>
              </w:rPr>
              <w:t xml:space="preserve">If you read that function and assume browsers fetch directly from the bucket, you will configure network access that is not needed.</w:t>
            </w:r>
          </w:p>
        </w:tc>
      </w:tr>
    </w:tbl>
    <w:p>
      <w:pPr>
        <w:spacing w:after="120" w:line="280"/>
      </w:pPr>
      <w:r>
        <w:rPr>
          <w:sz w:val="21"/>
          <w:szCs w:val="21"/>
        </w:rPr>
        <w:t xml:space="preserve">Responses carry </w:t>
      </w:r>
      <w:r>
        <w:rPr>
          <w:rFonts w:ascii="Consolas" w:cs="Consolas" w:eastAsia="Consolas" w:hAnsi="Consolas"/>
          <w:color w:val="9C27B0"/>
          <w:sz w:val="19"/>
          <w:szCs w:val="19"/>
        </w:rPr>
        <w:t xml:space="preserve">Cache-Control: private, max-age=3600</w:t>
      </w:r>
      <w:r>
        <w:rPr>
          <w:sz w:val="21"/>
          <w:szCs w:val="21"/>
        </w:rPr>
        <w:t xml:space="preserve">, so a browser re-uses a page image for an hour without asking again.</w:t>
      </w:r>
    </w:p>
    <w:p>
      <w:pPr>
        <w:pStyle w:val="Heading2"/>
        <w:spacing w:after="120" w:before="280"/>
      </w:pPr>
      <w:r>
        <w:rPr>
          <w:b/>
          <w:bCs/>
          <w:color w:val="1F3864"/>
          <w:sz w:val="24"/>
          <w:szCs w:val="24"/>
        </w:rPr>
        <w:t xml:space="preserve">2.2 Answer keys and other spreadsheet inputs</w:t>
      </w:r>
    </w:p>
    <w:p>
      <w:pPr>
        <w:pStyle w:val="Heading3"/>
        <w:spacing w:after="100" w:before="200"/>
      </w:pPr>
      <w:r>
        <w:rPr>
          <w:b/>
          <w:bCs/>
          <w:color w:val="2E75B6"/>
          <w:sz w:val="22"/>
          <w:szCs w:val="22"/>
        </w:rPr>
        <w:t xml:space="preserve">The short version</w:t>
      </w:r>
    </w:p>
    <w:p>
      <w:pPr>
        <w:spacing w:after="120" w:line="280"/>
      </w:pPr>
      <w:r>
        <w:rPr>
          <w:b/>
          <w:bCs/>
          <w:sz w:val="21"/>
          <w:szCs w:val="21"/>
        </w:rPr>
        <w:t xml:space="preserve">No uploaded spreadsheet is stored anywhere.</w:t>
      </w:r>
      <w:r>
        <w:rPr>
          <w:sz w:val="21"/>
          <w:szCs w:val="21"/>
        </w:rPr>
        <w:t xml:space="preserve"> Not in the database, not in object storage. Every Excel upload path reads the bytes, parses them, writes the parsed values to PostgreSQL, and discards the file.</w:t>
      </w:r>
    </w:p>
    <w:p>
      <w:pPr>
        <w:spacing w:after="120" w:line="280"/>
      </w:pPr>
      <w:r>
        <w:rPr>
          <w:sz w:val="21"/>
          <w:szCs w:val="21"/>
        </w:rPr>
        <w:t xml:space="preserve">Verified across all three upload paths — IP/OP answer keys, E/M answer keys, and the assessment question bank. None of them touch object storage.</w:t>
      </w:r>
    </w:p>
    <w:p>
      <w:pPr>
        <w:pStyle w:val="Heading3"/>
        <w:spacing w:after="100" w:before="200"/>
      </w:pPr>
      <w:r>
        <w:rPr>
          <w:b/>
          <w:bCs/>
          <w:color w:val="2E75B6"/>
          <w:sz w:val="22"/>
          <w:szCs w:val="22"/>
        </w:rPr>
        <w:t xml:space="preserve">What that means practically</w:t>
      </w:r>
    </w:p>
    <w:p>
      <w:pPr>
        <w:pStyle w:val="ListParagraph"/>
        <w:numPr>
          <w:ilvl w:val="0"/>
          <w:numId w:val="2"/>
        </w:numPr>
        <w:spacing w:after="80" w:line="280"/>
      </w:pPr>
      <w:r>
        <w:rPr>
          <w:b/>
          <w:bCs/>
          <w:sz w:val="21"/>
          <w:szCs w:val="21"/>
        </w:rPr>
        <w:t xml:space="preserve">For migration: </w:t>
      </w:r>
      <w:r>
        <w:rPr>
          <w:sz w:val="21"/>
          <w:szCs w:val="21"/>
        </w:rPr>
        <w:t xml:space="preserve">there is nothing to migrate. Once the database is restored, every key is present.</w:t>
      </w:r>
    </w:p>
    <w:p>
      <w:pPr>
        <w:pStyle w:val="ListParagraph"/>
        <w:numPr>
          <w:ilvl w:val="0"/>
          <w:numId w:val="2"/>
        </w:numPr>
        <w:spacing w:after="80" w:line="280"/>
      </w:pPr>
      <w:r>
        <w:rPr>
          <w:b/>
          <w:bCs/>
          <w:sz w:val="21"/>
          <w:szCs w:val="21"/>
        </w:rPr>
        <w:t xml:space="preserve">For the trainers: </w:t>
      </w:r>
      <w:r>
        <w:rPr>
          <w:sz w:val="21"/>
          <w:szCs w:val="21"/>
        </w:rPr>
        <w:t xml:space="preserve">the spreadsheet they uploaded is not recoverable from the application. If they want the original file, they keep their own copy. The app can regenerate an equivalent spreadsheet from stored data, but it is a fresh export, not the file they sent.</w:t>
      </w:r>
    </w:p>
    <w:p>
      <w:pPr>
        <w:pStyle w:val="ListParagraph"/>
        <w:numPr>
          <w:ilvl w:val="0"/>
          <w:numId w:val="2"/>
        </w:numPr>
        <w:spacing w:after="80" w:line="280"/>
      </w:pPr>
      <w:r>
        <w:rPr>
          <w:b/>
          <w:bCs/>
          <w:sz w:val="21"/>
          <w:szCs w:val="21"/>
        </w:rPr>
        <w:t xml:space="preserve">For audit: </w:t>
      </w:r>
      <w:r>
        <w:rPr>
          <w:sz w:val="21"/>
          <w:szCs w:val="21"/>
        </w:rPr>
        <w:t xml:space="preserve">there is no record of the file itself, only its effects.</w:t>
      </w:r>
    </w:p>
    <w:p>
      <w:pPr>
        <w:pStyle w:val="Heading3"/>
        <w:spacing w:after="100" w:before="200"/>
      </w:pPr>
      <w:r>
        <w:rPr>
          <w:b/>
          <w:bCs/>
          <w:color w:val="2E75B6"/>
          <w:sz w:val="22"/>
          <w:szCs w:val="22"/>
        </w:rPr>
        <w:t xml:space="preserve">Where the parsed values land</w:t>
      </w:r>
    </w:p>
    <w:p>
      <w:pPr>
        <w:spacing w:after="120" w:line="280"/>
      </w:pPr>
      <w:r>
        <w:rPr>
          <w:b/>
          <w:bCs/>
          <w:sz w:val="21"/>
          <w:szCs w:val="21"/>
        </w:rPr>
        <w:t xml:space="preserve">IP/OP answer keys</w:t>
      </w:r>
      <w:r>
        <w:rPr>
          <w:sz w:val="21"/>
          <w:szCs w:val="21"/>
        </w:rPr>
        <w:t xml:space="preserve"> → </w:t>
      </w:r>
      <w:r>
        <w:rPr>
          <w:rFonts w:ascii="Consolas" w:cs="Consolas" w:eastAsia="Consolas" w:hAnsi="Consolas"/>
          <w:color w:val="9C27B0"/>
          <w:sz w:val="19"/>
          <w:szCs w:val="19"/>
        </w:rPr>
        <w:t xml:space="preserve">answer_keys</w:t>
      </w:r>
      <w:r>
        <w:rPr>
          <w:sz w:val="21"/>
          <w:szCs w:val="21"/>
        </w:rPr>
        <w:t xml:space="preserve">, one row per chart:</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200"/>
        <w:gridCol w:w="1200"/>
        <w:gridCol w:w="4960"/>
      </w:tblGrid>
      <w:tr>
        <w:trPr>
          <w:tblHeader/>
        </w:trPr>
        <w:tc>
          <w:tcPr>
            <w:tcW w:type="dxa" w:w="3200"/>
            <w:shd w:fill="DCE6F1" w:val="clear"/>
            <w:tcMar>
              <w:top w:type="dxa" w:w="90"/>
              <w:left w:type="dxa" w:w="130"/>
              <w:bottom w:type="dxa" w:w="90"/>
              <w:right w:type="dxa" w:w="130"/>
            </w:tcMar>
          </w:tcPr>
          <w:p>
            <w:r>
              <w:rPr>
                <w:b/>
                <w:bCs/>
                <w:color w:val="1F3864"/>
                <w:sz w:val="20"/>
                <w:szCs w:val="20"/>
              </w:rPr>
              <w:t xml:space="preserve">Column</w:t>
            </w:r>
          </w:p>
        </w:tc>
        <w:tc>
          <w:tcPr>
            <w:tcW w:type="dxa" w:w="1200"/>
            <w:shd w:fill="DCE6F1" w:val="clear"/>
            <w:tcMar>
              <w:top w:type="dxa" w:w="90"/>
              <w:left w:type="dxa" w:w="130"/>
              <w:bottom w:type="dxa" w:w="90"/>
              <w:right w:type="dxa" w:w="130"/>
            </w:tcMar>
          </w:tcPr>
          <w:p>
            <w:r>
              <w:rPr>
                <w:b/>
                <w:bCs/>
                <w:color w:val="1F3864"/>
                <w:sz w:val="20"/>
                <w:szCs w:val="20"/>
              </w:rPr>
              <w:t xml:space="preserve">Type</w:t>
            </w:r>
          </w:p>
        </w:tc>
        <w:tc>
          <w:tcPr>
            <w:tcW w:type="dxa" w:w="4960"/>
            <w:shd w:fill="DCE6F1" w:val="clear"/>
            <w:tcMar>
              <w:top w:type="dxa" w:w="90"/>
              <w:left w:type="dxa" w:w="130"/>
              <w:bottom w:type="dxa" w:w="90"/>
              <w:right w:type="dxa" w:w="130"/>
            </w:tcMar>
          </w:tcPr>
          <w:p>
            <w:r>
              <w:rPr>
                <w:b/>
                <w:bCs/>
                <w:color w:val="1F3864"/>
                <w:sz w:val="20"/>
                <w:szCs w:val="20"/>
              </w:rPr>
              <w:t xml:space="preserve">Contents</w:t>
            </w:r>
          </w:p>
        </w:tc>
      </w:tr>
      <w:tr>
        <w:tc>
          <w:tcPr>
            <w:tcW w:type="dxa" w:w="3200"/>
            <w:tcMar>
              <w:top w:type="dxa" w:w="90"/>
              <w:left w:type="dxa" w:w="130"/>
              <w:bottom w:type="dxa" w:w="90"/>
              <w:right w:type="dxa" w:w="130"/>
            </w:tcMar>
          </w:tcPr>
          <w:p>
            <w:r>
              <w:rPr>
                <w:rFonts w:ascii="Consolas" w:cs="Consolas" w:eastAsia="Consolas" w:hAnsi="Consolas"/>
                <w:sz w:val="18"/>
                <w:szCs w:val="18"/>
              </w:rPr>
              <w:t xml:space="preserve">pdx_code, pdx_poa</w:t>
            </w:r>
          </w:p>
        </w:tc>
        <w:tc>
          <w:tcPr>
            <w:tcW w:type="dxa" w:w="1200"/>
            <w:tcMar>
              <w:top w:type="dxa" w:w="90"/>
              <w:left w:type="dxa" w:w="130"/>
              <w:bottom w:type="dxa" w:w="90"/>
              <w:right w:type="dxa" w:w="130"/>
            </w:tcMar>
          </w:tcPr>
          <w:p>
            <w:r>
              <w:rPr>
                <w:sz w:val="20"/>
                <w:szCs w:val="20"/>
              </w:rPr>
              <w:t xml:space="preserve">text</w:t>
            </w:r>
          </w:p>
        </w:tc>
        <w:tc>
          <w:tcPr>
            <w:tcW w:type="dxa" w:w="4960"/>
            <w:tcMar>
              <w:top w:type="dxa" w:w="90"/>
              <w:left w:type="dxa" w:w="130"/>
              <w:bottom w:type="dxa" w:w="90"/>
              <w:right w:type="dxa" w:w="130"/>
            </w:tcMar>
          </w:tcPr>
          <w:p>
            <w:r>
              <w:rPr>
                <w:sz w:val="20"/>
                <w:szCs w:val="20"/>
              </w:rPr>
              <w:t xml:space="preserve">Principal diagnosis and POA</w:t>
            </w:r>
          </w:p>
        </w:tc>
      </w:tr>
      <w:tr>
        <w:tc>
          <w:tcPr>
            <w:tcW w:type="dxa" w:w="3200"/>
            <w:tcMar>
              <w:top w:type="dxa" w:w="90"/>
              <w:left w:type="dxa" w:w="130"/>
              <w:bottom w:type="dxa" w:w="90"/>
              <w:right w:type="dxa" w:w="130"/>
            </w:tcMar>
          </w:tcPr>
          <w:p>
            <w:r>
              <w:rPr>
                <w:rFonts w:ascii="Consolas" w:cs="Consolas" w:eastAsia="Consolas" w:hAnsi="Consolas"/>
                <w:sz w:val="18"/>
                <w:szCs w:val="18"/>
              </w:rPr>
              <w:t xml:space="preserve">sdx</w:t>
            </w:r>
          </w:p>
        </w:tc>
        <w:tc>
          <w:tcPr>
            <w:tcW w:type="dxa" w:w="1200"/>
            <w:tcMar>
              <w:top w:type="dxa" w:w="90"/>
              <w:left w:type="dxa" w:w="130"/>
              <w:bottom w:type="dxa" w:w="90"/>
              <w:right w:type="dxa" w:w="130"/>
            </w:tcMar>
          </w:tcPr>
          <w:p>
            <w:r>
              <w:rPr>
                <w:sz w:val="20"/>
                <w:szCs w:val="20"/>
              </w:rPr>
              <w:t xml:space="preserve">JSON</w:t>
            </w:r>
          </w:p>
        </w:tc>
        <w:tc>
          <w:tcPr>
            <w:tcW w:type="dxa" w:w="4960"/>
            <w:tcMar>
              <w:top w:type="dxa" w:w="90"/>
              <w:left w:type="dxa" w:w="130"/>
              <w:bottom w:type="dxa" w:w="90"/>
              <w:right w:type="dxa" w:w="130"/>
            </w:tcMar>
          </w:tcPr>
          <w:p>
            <w:r>
              <w:rPr>
                <w:rFonts w:ascii="Consolas" w:cs="Consolas" w:eastAsia="Consolas" w:hAnsi="Consolas"/>
                <w:sz w:val="18"/>
                <w:szCs w:val="18"/>
              </w:rPr>
              <w:t xml:space="preserve">[{code, poa, ccmcc}, …]</w:t>
            </w:r>
          </w:p>
        </w:tc>
      </w:tr>
      <w:tr>
        <w:tc>
          <w:tcPr>
            <w:tcW w:type="dxa" w:w="3200"/>
            <w:tcMar>
              <w:top w:type="dxa" w:w="90"/>
              <w:left w:type="dxa" w:w="130"/>
              <w:bottom w:type="dxa" w:w="90"/>
              <w:right w:type="dxa" w:w="130"/>
            </w:tcMar>
          </w:tcPr>
          <w:p>
            <w:r>
              <w:rPr>
                <w:rFonts w:ascii="Consolas" w:cs="Consolas" w:eastAsia="Consolas" w:hAnsi="Consolas"/>
                <w:sz w:val="18"/>
                <w:szCs w:val="18"/>
              </w:rPr>
              <w:t xml:space="preserve">pcs</w:t>
            </w:r>
          </w:p>
        </w:tc>
        <w:tc>
          <w:tcPr>
            <w:tcW w:type="dxa" w:w="1200"/>
            <w:tcMar>
              <w:top w:type="dxa" w:w="90"/>
              <w:left w:type="dxa" w:w="130"/>
              <w:bottom w:type="dxa" w:w="90"/>
              <w:right w:type="dxa" w:w="130"/>
            </w:tcMar>
          </w:tcPr>
          <w:p>
            <w:r>
              <w:rPr>
                <w:sz w:val="20"/>
                <w:szCs w:val="20"/>
              </w:rPr>
              <w:t xml:space="preserve">JSON</w:t>
            </w:r>
          </w:p>
        </w:tc>
        <w:tc>
          <w:tcPr>
            <w:tcW w:type="dxa" w:w="4960"/>
            <w:tcMar>
              <w:top w:type="dxa" w:w="90"/>
              <w:left w:type="dxa" w:w="130"/>
              <w:bottom w:type="dxa" w:w="90"/>
              <w:right w:type="dxa" w:w="130"/>
            </w:tcMar>
          </w:tcPr>
          <w:p>
            <w:r>
              <w:rPr>
                <w:rFonts w:ascii="Consolas" w:cs="Consolas" w:eastAsia="Consolas" w:hAnsi="Consolas"/>
                <w:sz w:val="18"/>
                <w:szCs w:val="18"/>
              </w:rPr>
              <w:t xml:space="preserve">[{code}, …]</w:t>
            </w:r>
            <w:r>
              <w:rPr>
                <w:sz w:val="20"/>
                <w:szCs w:val="20"/>
              </w:rPr>
              <w:t xml:space="preserve">  (inpatient procedures)</w:t>
            </w:r>
          </w:p>
        </w:tc>
      </w:tr>
      <w:tr>
        <w:tc>
          <w:tcPr>
            <w:tcW w:type="dxa" w:w="3200"/>
            <w:tcMar>
              <w:top w:type="dxa" w:w="90"/>
              <w:left w:type="dxa" w:w="130"/>
              <w:bottom w:type="dxa" w:w="90"/>
              <w:right w:type="dxa" w:w="130"/>
            </w:tcMar>
          </w:tcPr>
          <w:p>
            <w:r>
              <w:rPr>
                <w:rFonts w:ascii="Consolas" w:cs="Consolas" w:eastAsia="Consolas" w:hAnsi="Consolas"/>
                <w:sz w:val="18"/>
                <w:szCs w:val="18"/>
              </w:rPr>
              <w:t xml:space="preserve">cpt</w:t>
            </w:r>
          </w:p>
        </w:tc>
        <w:tc>
          <w:tcPr>
            <w:tcW w:type="dxa" w:w="1200"/>
            <w:tcMar>
              <w:top w:type="dxa" w:w="90"/>
              <w:left w:type="dxa" w:w="130"/>
              <w:bottom w:type="dxa" w:w="90"/>
              <w:right w:type="dxa" w:w="130"/>
            </w:tcMar>
          </w:tcPr>
          <w:p>
            <w:r>
              <w:rPr>
                <w:sz w:val="20"/>
                <w:szCs w:val="20"/>
              </w:rPr>
              <w:t xml:space="preserve">JSON</w:t>
            </w:r>
          </w:p>
        </w:tc>
        <w:tc>
          <w:tcPr>
            <w:tcW w:type="dxa" w:w="4960"/>
            <w:tcMar>
              <w:top w:type="dxa" w:w="90"/>
              <w:left w:type="dxa" w:w="130"/>
              <w:bottom w:type="dxa" w:w="90"/>
              <w:right w:type="dxa" w:w="130"/>
            </w:tcMar>
          </w:tcPr>
          <w:p>
            <w:r>
              <w:rPr>
                <w:rFonts w:ascii="Consolas" w:cs="Consolas" w:eastAsia="Consolas" w:hAnsi="Consolas"/>
                <w:sz w:val="18"/>
                <w:szCs w:val="18"/>
              </w:rPr>
              <w:t xml:space="preserve">[{code, modifier, pointers, units}, …]</w:t>
            </w:r>
          </w:p>
        </w:tc>
      </w:tr>
      <w:tr>
        <w:tc>
          <w:tcPr>
            <w:tcW w:type="dxa" w:w="3200"/>
            <w:tcMar>
              <w:top w:type="dxa" w:w="90"/>
              <w:left w:type="dxa" w:w="130"/>
              <w:bottom w:type="dxa" w:w="90"/>
              <w:right w:type="dxa" w:w="130"/>
            </w:tcMar>
          </w:tcPr>
          <w:p>
            <w:r>
              <w:rPr>
                <w:rFonts w:ascii="Consolas" w:cs="Consolas" w:eastAsia="Consolas" w:hAnsi="Consolas"/>
                <w:sz w:val="18"/>
                <w:szCs w:val="18"/>
              </w:rPr>
              <w:t xml:space="preserve">facility_level, profee_level</w:t>
            </w:r>
          </w:p>
        </w:tc>
        <w:tc>
          <w:tcPr>
            <w:tcW w:type="dxa" w:w="1200"/>
            <w:tcMar>
              <w:top w:type="dxa" w:w="90"/>
              <w:left w:type="dxa" w:w="130"/>
              <w:bottom w:type="dxa" w:w="90"/>
              <w:right w:type="dxa" w:w="130"/>
            </w:tcMar>
          </w:tcPr>
          <w:p>
            <w:r>
              <w:rPr>
                <w:sz w:val="20"/>
                <w:szCs w:val="20"/>
              </w:rPr>
              <w:t xml:space="preserve">text</w:t>
            </w:r>
          </w:p>
        </w:tc>
        <w:tc>
          <w:tcPr>
            <w:tcW w:type="dxa" w:w="4960"/>
            <w:tcMar>
              <w:top w:type="dxa" w:w="90"/>
              <w:left w:type="dxa" w:w="130"/>
              <w:bottom w:type="dxa" w:w="90"/>
              <w:right w:type="dxa" w:w="130"/>
            </w:tcMar>
          </w:tcPr>
          <w:p>
            <w:r>
              <w:rPr>
                <w:sz w:val="20"/>
                <w:szCs w:val="20"/>
              </w:rPr>
              <w:t xml:space="preserve">ED Single Path only</w:t>
            </w:r>
          </w:p>
        </w:tc>
      </w:tr>
    </w:tbl>
    <w:p>
      <w:pPr>
        <w:spacing w:after="120" w:line="280"/>
      </w:pPr>
      <w:r>
        <w:rPr>
          <w:b/>
          <w:bCs/>
          <w:sz w:val="21"/>
          <w:szCs w:val="21"/>
        </w:rPr>
        <w:t xml:space="preserve">E/M answer keys</w:t>
      </w:r>
      <w:r>
        <w:rPr>
          <w:sz w:val="21"/>
          <w:szCs w:val="21"/>
        </w:rPr>
        <w:t xml:space="preserve"> → </w:t>
      </w:r>
      <w:r>
        <w:rPr>
          <w:rFonts w:ascii="Consolas" w:cs="Consolas" w:eastAsia="Consolas" w:hAnsi="Consolas"/>
          <w:color w:val="9C27B0"/>
          <w:sz w:val="19"/>
          <w:szCs w:val="19"/>
        </w:rPr>
        <w:t xml:space="preserve">em_answer_keys</w:t>
      </w:r>
      <w:r>
        <w:rPr>
          <w:sz w:val="21"/>
          <w:szCs w:val="21"/>
        </w:rPr>
        <w:t xml:space="preserve">, one row per chart: 47 columns covering the MDM element counts (COPA, Data Review, Risk), the derived levels, the E/M code and modifier, the encounter category, critical-care minutes, plus </w:t>
      </w:r>
      <w:r>
        <w:rPr>
          <w:rFonts w:ascii="Consolas" w:cs="Consolas" w:eastAsia="Consolas" w:hAnsi="Consolas"/>
          <w:color w:val="9C27B0"/>
          <w:sz w:val="19"/>
          <w:szCs w:val="19"/>
        </w:rPr>
        <w:t xml:space="preserve">dx_codes</w:t>
      </w:r>
      <w:r>
        <w:rPr>
          <w:sz w:val="21"/>
          <w:szCs w:val="21"/>
        </w:rPr>
        <w:t xml:space="preserve"> and </w:t>
      </w:r>
      <w:r>
        <w:rPr>
          <w:rFonts w:ascii="Consolas" w:cs="Consolas" w:eastAsia="Consolas" w:hAnsi="Consolas"/>
          <w:color w:val="9C27B0"/>
          <w:sz w:val="19"/>
          <w:szCs w:val="19"/>
        </w:rPr>
        <w:t xml:space="preserve">procedure_cpts</w:t>
      </w:r>
      <w:r>
        <w:rPr>
          <w:sz w:val="21"/>
          <w:szCs w:val="21"/>
        </w:rPr>
        <w:t xml:space="preserve"> as JSON.</w:t>
      </w:r>
    </w:p>
    <w:p>
      <w:pPr>
        <w:spacing w:after="120" w:line="280"/>
      </w:pPr>
      <w:r>
        <w:rPr>
          <w:b/>
          <w:bCs/>
          <w:sz w:val="21"/>
          <w:szCs w:val="21"/>
        </w:rPr>
        <w:t xml:space="preserve">Assessment questions</w:t>
      </w:r>
      <w:r>
        <w:rPr>
          <w:sz w:val="21"/>
          <w:szCs w:val="21"/>
        </w:rPr>
        <w:t xml:space="preserve"> → </w:t>
      </w:r>
      <w:r>
        <w:rPr>
          <w:rFonts w:ascii="Consolas" w:cs="Consolas" w:eastAsia="Consolas" w:hAnsi="Consolas"/>
          <w:color w:val="9C27B0"/>
          <w:sz w:val="19"/>
          <w:szCs w:val="19"/>
        </w:rPr>
        <w:t xml:space="preserve">assessment_questions</w:t>
      </w:r>
      <w:r>
        <w:rPr>
          <w:sz w:val="21"/>
          <w:szCs w:val="21"/>
        </w:rPr>
        <w:t xml:space="preserve">, one row per question: text, four options, correct answer, specialty, topic, difficulty, status.</w:t>
      </w:r>
    </w:p>
    <w:p>
      <w:pPr>
        <w:pStyle w:val="Heading3"/>
        <w:spacing w:after="100" w:before="200"/>
      </w:pPr>
      <w:r>
        <w:rPr>
          <w:b/>
          <w:bCs/>
          <w:color w:val="2E75B6"/>
          <w:sz w:val="22"/>
          <w:szCs w:val="22"/>
        </w:rPr>
        <w:t xml:space="preserve">A note on the JSON columns</w:t>
      </w:r>
    </w:p>
    <w:p>
      <w:pPr>
        <w:spacing w:after="120" w:line="280"/>
      </w:pPr>
      <w:r>
        <w:rPr>
          <w:sz w:val="21"/>
          <w:szCs w:val="21"/>
        </w:rPr>
        <w:t xml:space="preserve">19 columns across the schema are typed </w:t>
      </w:r>
      <w:r>
        <w:rPr>
          <w:rFonts w:ascii="Consolas" w:cs="Consolas" w:eastAsia="Consolas" w:hAnsi="Consolas"/>
          <w:color w:val="9C27B0"/>
          <w:sz w:val="19"/>
          <w:szCs w:val="19"/>
        </w:rPr>
        <w:t xml:space="preserve">JSON</w:t>
      </w:r>
      <w:r>
        <w:rPr>
          <w:sz w:val="21"/>
          <w:szCs w:val="21"/>
        </w:rPr>
        <w:t xml:space="preserve">. On PostgreSQL these are real JSON columns; on SQLite (local development only) they are TEXT and the driver deserialises them. This matters for anyone writing SQL directly against the database: </w:t>
      </w:r>
      <w:r>
        <w:rPr>
          <w:rFonts w:ascii="Consolas" w:cs="Consolas" w:eastAsia="Consolas" w:hAnsi="Consolas"/>
          <w:color w:val="9C27B0"/>
          <w:sz w:val="19"/>
          <w:szCs w:val="19"/>
        </w:rPr>
        <w:t xml:space="preserve">answer_keys.cpt</w:t>
      </w:r>
      <w:r>
        <w:rPr>
          <w:sz w:val="21"/>
          <w:szCs w:val="21"/>
        </w:rPr>
        <w:t xml:space="preserve"> is queryable with PostgreSQL JSON operators, and its shape is documented above rather than being enforced by the schema.</w:t>
      </w:r>
    </w:p>
    <w:p>
      <w:pPr>
        <w:pStyle w:val="Heading2"/>
        <w:spacing w:after="120" w:before="280"/>
      </w:pPr>
      <w:r>
        <w:rPr>
          <w:b/>
          <w:bCs/>
          <w:color w:val="1F3864"/>
          <w:sz w:val="24"/>
          <w:szCs w:val="24"/>
        </w:rPr>
        <w:t xml:space="preserve">2.3 The storage provider: Cloudflare R2</w:t>
      </w:r>
    </w:p>
    <w:p>
      <w:pPr>
        <w:spacing w:after="120" w:line="280"/>
      </w:pPr>
      <w:r>
        <w:rPr>
          <w:sz w:val="21"/>
          <w:szCs w:val="21"/>
        </w:rPr>
        <w:t xml:space="preserve">The bucket is Cloudflare R2, which speaks the S3 API. The application uses boto3 — the standard AWS SDK — pointed at R2's endpoint rather than AWS:</w:t>
      </w:r>
    </w:p>
    <w:p>
      <w:pPr>
        <w:pBdr>
          <w:left w:val="single" w:color="2E75B6" w:sz="12" w:space="6"/>
        </w:pBdr>
        <w:shd w:fill="F2F2F2" w:val="clear"/>
        <w:spacing w:after="140" w:before="100" w:line="260"/>
        <w:ind w:left="120"/>
      </w:pPr>
      <w:r>
        <w:rPr>
          <w:rFonts w:ascii="Consolas" w:cs="Consolas" w:eastAsia="Consolas" w:hAnsi="Consolas"/>
          <w:sz w:val="18"/>
          <w:szCs w:val="18"/>
        </w:rPr>
        <w:t xml:space="preserve">boto3.client(</w:t>
      </w:r>
      <w:r>
        <w:br/>
      </w:r>
      <w:r>
        <w:rPr>
          <w:rFonts w:ascii="Consolas" w:cs="Consolas" w:eastAsia="Consolas" w:hAnsi="Consolas"/>
          <w:sz w:val="18"/>
          <w:szCs w:val="18"/>
        </w:rPr>
        <w:t xml:space="preserve">    "s3",</w:t>
      </w:r>
      <w:r>
        <w:br/>
      </w:r>
      <w:r>
        <w:rPr>
          <w:rFonts w:ascii="Consolas" w:cs="Consolas" w:eastAsia="Consolas" w:hAnsi="Consolas"/>
          <w:sz w:val="18"/>
          <w:szCs w:val="18"/>
        </w:rPr>
        <w:t xml:space="preserve">    endpoint_url=settings.STORAGE_ENDPOINT_URL,</w:t>
      </w:r>
      <w:r>
        <w:br/>
      </w:r>
      <w:r>
        <w:rPr>
          <w:rFonts w:ascii="Consolas" w:cs="Consolas" w:eastAsia="Consolas" w:hAnsi="Consolas"/>
          <w:sz w:val="18"/>
          <w:szCs w:val="18"/>
        </w:rPr>
        <w:t xml:space="preserve">    aws_access_key_id=settings.STORAGE_ACCESS_KEY,</w:t>
      </w:r>
      <w:r>
        <w:br/>
      </w:r>
      <w:r>
        <w:rPr>
          <w:rFonts w:ascii="Consolas" w:cs="Consolas" w:eastAsia="Consolas" w:hAnsi="Consolas"/>
          <w:sz w:val="18"/>
          <w:szCs w:val="18"/>
        </w:rPr>
        <w:t xml:space="preserve">    aws_secret_access_key=settings.STORAGE_SECRET_KEY,</w:t>
      </w:r>
      <w:r>
        <w:br/>
      </w:r>
      <w:r>
        <w:rPr>
          <w:rFonts w:ascii="Consolas" w:cs="Consolas" w:eastAsia="Consolas" w:hAnsi="Consolas"/>
          <w:sz w:val="18"/>
          <w:szCs w:val="18"/>
        </w:rPr>
        <w:t xml:space="preserve">    config=Config(signature_version="s3v4"),</w:t>
      </w:r>
      <w:r>
        <w:br/>
      </w:r>
      <w:r>
        <w:rPr>
          <w:rFonts w:ascii="Consolas" w:cs="Consolas" w:eastAsia="Consolas" w:hAnsi="Consolas"/>
          <w:sz w:val="18"/>
          <w:szCs w:val="18"/>
        </w:rPr>
        <w:t xml:space="preserve">)</w:t>
      </w:r>
    </w:p>
    <w:p>
      <w:pPr>
        <w:spacing w:after="120" w:line="280"/>
      </w:pPr>
      <w:r>
        <w:rPr>
          <w:sz w:val="21"/>
          <w:szCs w:val="21"/>
        </w:rPr>
        <w:t xml:space="preserve">Because it is plain S3, the receiving team can point this at </w:t>
      </w:r>
      <w:r>
        <w:rPr>
          <w:b/>
          <w:bCs/>
          <w:sz w:val="21"/>
          <w:szCs w:val="21"/>
        </w:rPr>
        <w:t xml:space="preserve">any</w:t>
      </w:r>
      <w:r>
        <w:rPr>
          <w:sz w:val="21"/>
          <w:szCs w:val="21"/>
        </w:rPr>
        <w:t xml:space="preserve"> S3-compatible target — AWS S3, MinIO, Ceph, an internal object store — by changing three environment variables. No code change.</w:t>
      </w:r>
    </w:p>
    <w:p>
      <w:pPr>
        <w:pStyle w:val="Heading3"/>
        <w:spacing w:after="100" w:before="200"/>
      </w:pPr>
      <w:r>
        <w:rPr>
          <w:b/>
          <w:bCs/>
          <w:color w:val="2E75B6"/>
          <w:sz w:val="22"/>
          <w:szCs w:val="22"/>
        </w:rPr>
        <w:t xml:space="preserve">What to collect from the Cloudflare account</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800"/>
        <w:gridCol w:w="3200"/>
        <w:gridCol w:w="3360"/>
      </w:tblGrid>
      <w:tr>
        <w:trPr>
          <w:tblHeader/>
        </w:trPr>
        <w:tc>
          <w:tcPr>
            <w:tcW w:type="dxa" w:w="2800"/>
            <w:shd w:fill="DCE6F1" w:val="clear"/>
            <w:tcMar>
              <w:top w:type="dxa" w:w="90"/>
              <w:left w:type="dxa" w:w="130"/>
              <w:bottom w:type="dxa" w:w="90"/>
              <w:right w:type="dxa" w:w="130"/>
            </w:tcMar>
          </w:tcPr>
          <w:p>
            <w:r>
              <w:rPr>
                <w:b/>
                <w:bCs/>
                <w:color w:val="1F3864"/>
                <w:sz w:val="20"/>
                <w:szCs w:val="20"/>
              </w:rPr>
              <w:t xml:space="preserve">Needed</w:t>
            </w:r>
          </w:p>
        </w:tc>
        <w:tc>
          <w:tcPr>
            <w:tcW w:type="dxa" w:w="3200"/>
            <w:shd w:fill="DCE6F1" w:val="clear"/>
            <w:tcMar>
              <w:top w:type="dxa" w:w="90"/>
              <w:left w:type="dxa" w:w="130"/>
              <w:bottom w:type="dxa" w:w="90"/>
              <w:right w:type="dxa" w:w="130"/>
            </w:tcMar>
          </w:tcPr>
          <w:p>
            <w:r>
              <w:rPr>
                <w:b/>
                <w:bCs/>
                <w:color w:val="1F3864"/>
                <w:sz w:val="20"/>
                <w:szCs w:val="20"/>
              </w:rPr>
              <w:t xml:space="preserve">Where it comes from</w:t>
            </w:r>
          </w:p>
        </w:tc>
        <w:tc>
          <w:tcPr>
            <w:tcW w:type="dxa" w:w="3360"/>
            <w:shd w:fill="DCE6F1" w:val="clear"/>
            <w:tcMar>
              <w:top w:type="dxa" w:w="90"/>
              <w:left w:type="dxa" w:w="130"/>
              <w:bottom w:type="dxa" w:w="90"/>
              <w:right w:type="dxa" w:w="130"/>
            </w:tcMar>
          </w:tcPr>
          <w:p>
            <w:r>
              <w:rPr>
                <w:b/>
                <w:bCs/>
                <w:color w:val="1F3864"/>
                <w:sz w:val="20"/>
                <w:szCs w:val="20"/>
              </w:rPr>
              <w:t xml:space="preserve">Maps to</w:t>
            </w:r>
          </w:p>
        </w:tc>
      </w:tr>
      <w:tr>
        <w:tc>
          <w:tcPr>
            <w:tcW w:type="dxa" w:w="2800"/>
            <w:tcMar>
              <w:top w:type="dxa" w:w="90"/>
              <w:left w:type="dxa" w:w="130"/>
              <w:bottom w:type="dxa" w:w="90"/>
              <w:right w:type="dxa" w:w="130"/>
            </w:tcMar>
          </w:tcPr>
          <w:p>
            <w:r>
              <w:rPr>
                <w:sz w:val="20"/>
                <w:szCs w:val="20"/>
              </w:rPr>
              <w:t xml:space="preserve">Account ID</w:t>
            </w:r>
          </w:p>
        </w:tc>
        <w:tc>
          <w:tcPr>
            <w:tcW w:type="dxa" w:w="3200"/>
            <w:tcMar>
              <w:top w:type="dxa" w:w="90"/>
              <w:left w:type="dxa" w:w="130"/>
              <w:bottom w:type="dxa" w:w="90"/>
              <w:right w:type="dxa" w:w="130"/>
            </w:tcMar>
          </w:tcPr>
          <w:p>
            <w:r>
              <w:rPr>
                <w:sz w:val="20"/>
                <w:szCs w:val="20"/>
              </w:rPr>
              <w:t xml:space="preserve">Cloudflare dashboard → R2</w:t>
            </w:r>
          </w:p>
        </w:tc>
        <w:tc>
          <w:tcPr>
            <w:tcW w:type="dxa" w:w="3360"/>
            <w:tcMar>
              <w:top w:type="dxa" w:w="90"/>
              <w:left w:type="dxa" w:w="130"/>
              <w:bottom w:type="dxa" w:w="90"/>
              <w:right w:type="dxa" w:w="130"/>
            </w:tcMar>
          </w:tcPr>
          <w:p>
            <w:r>
              <w:rPr>
                <w:sz w:val="20"/>
                <w:szCs w:val="20"/>
              </w:rPr>
              <w:t xml:space="preserve">Part of </w:t>
            </w:r>
            <w:r>
              <w:rPr>
                <w:rFonts w:ascii="Consolas" w:cs="Consolas" w:eastAsia="Consolas" w:hAnsi="Consolas"/>
                <w:sz w:val="18"/>
                <w:szCs w:val="18"/>
              </w:rPr>
              <w:t xml:space="preserve">STORAGE_ENDPOINT_URL</w:t>
            </w:r>
          </w:p>
        </w:tc>
      </w:tr>
      <w:tr>
        <w:tc>
          <w:tcPr>
            <w:tcW w:type="dxa" w:w="2800"/>
            <w:tcMar>
              <w:top w:type="dxa" w:w="90"/>
              <w:left w:type="dxa" w:w="130"/>
              <w:bottom w:type="dxa" w:w="90"/>
              <w:right w:type="dxa" w:w="130"/>
            </w:tcMar>
          </w:tcPr>
          <w:p>
            <w:r>
              <w:rPr>
                <w:sz w:val="20"/>
                <w:szCs w:val="20"/>
              </w:rPr>
              <w:t xml:space="preserve">R2 API token (Access Key ID + Secret)</w:t>
            </w:r>
          </w:p>
        </w:tc>
        <w:tc>
          <w:tcPr>
            <w:tcW w:type="dxa" w:w="3200"/>
            <w:tcMar>
              <w:top w:type="dxa" w:w="90"/>
              <w:left w:type="dxa" w:w="130"/>
              <w:bottom w:type="dxa" w:w="90"/>
              <w:right w:type="dxa" w:w="130"/>
            </w:tcMar>
          </w:tcPr>
          <w:p>
            <w:r>
              <w:rPr>
                <w:sz w:val="20"/>
                <w:szCs w:val="20"/>
              </w:rPr>
              <w:t xml:space="preserve">R2 → Manage API Tokens → Create</w:t>
            </w:r>
          </w:p>
        </w:tc>
        <w:tc>
          <w:tcPr>
            <w:tcW w:type="dxa" w:w="3360"/>
            <w:tcMar>
              <w:top w:type="dxa" w:w="90"/>
              <w:left w:type="dxa" w:w="130"/>
              <w:bottom w:type="dxa" w:w="90"/>
              <w:right w:type="dxa" w:w="130"/>
            </w:tcMar>
          </w:tcPr>
          <w:p>
            <w:r>
              <w:rPr>
                <w:rFonts w:ascii="Consolas" w:cs="Consolas" w:eastAsia="Consolas" w:hAnsi="Consolas"/>
                <w:sz w:val="18"/>
                <w:szCs w:val="18"/>
              </w:rPr>
              <w:t xml:space="preserve">STORAGE_ACCESS_KEY</w:t>
            </w:r>
            <w:r>
              <w:rPr>
                <w:sz w:val="20"/>
                <w:szCs w:val="20"/>
              </w:rPr>
              <w:t xml:space="preserve"> / </w:t>
            </w:r>
            <w:r>
              <w:rPr>
                <w:rFonts w:ascii="Consolas" w:cs="Consolas" w:eastAsia="Consolas" w:hAnsi="Consolas"/>
                <w:sz w:val="18"/>
                <w:szCs w:val="18"/>
              </w:rPr>
              <w:t xml:space="preserve">STORAGE_SECRET_KEY</w:t>
            </w:r>
          </w:p>
        </w:tc>
      </w:tr>
      <w:tr>
        <w:tc>
          <w:tcPr>
            <w:tcW w:type="dxa" w:w="2800"/>
            <w:tcMar>
              <w:top w:type="dxa" w:w="90"/>
              <w:left w:type="dxa" w:w="130"/>
              <w:bottom w:type="dxa" w:w="90"/>
              <w:right w:type="dxa" w:w="130"/>
            </w:tcMar>
          </w:tcPr>
          <w:p>
            <w:r>
              <w:rPr>
                <w:sz w:val="20"/>
                <w:szCs w:val="20"/>
              </w:rPr>
              <w:t xml:space="preserve">Bucket name</w:t>
            </w:r>
          </w:p>
        </w:tc>
        <w:tc>
          <w:tcPr>
            <w:tcW w:type="dxa" w:w="3200"/>
            <w:tcMar>
              <w:top w:type="dxa" w:w="90"/>
              <w:left w:type="dxa" w:w="130"/>
              <w:bottom w:type="dxa" w:w="90"/>
              <w:right w:type="dxa" w:w="130"/>
            </w:tcMar>
          </w:tcPr>
          <w:p>
            <w:r>
              <w:rPr>
                <w:sz w:val="20"/>
                <w:szCs w:val="20"/>
              </w:rPr>
              <w:t xml:space="preserve">R2 → Buckets</w:t>
            </w:r>
          </w:p>
        </w:tc>
        <w:tc>
          <w:tcPr>
            <w:tcW w:type="dxa" w:w="3360"/>
            <w:tcMar>
              <w:top w:type="dxa" w:w="90"/>
              <w:left w:type="dxa" w:w="130"/>
              <w:bottom w:type="dxa" w:w="90"/>
              <w:right w:type="dxa" w:w="130"/>
            </w:tcMar>
          </w:tcPr>
          <w:p>
            <w:r>
              <w:rPr>
                <w:rFonts w:ascii="Consolas" w:cs="Consolas" w:eastAsia="Consolas" w:hAnsi="Consolas"/>
                <w:sz w:val="18"/>
                <w:szCs w:val="18"/>
              </w:rPr>
              <w:t xml:space="preserve">STORAGE_BUCKET_NAME</w:t>
            </w:r>
          </w:p>
        </w:tc>
      </w:tr>
    </w:tbl>
    <w:p>
      <w:pPr>
        <w:spacing w:after="120" w:line="280"/>
      </w:pPr>
      <w:r>
        <w:rPr>
          <w:sz w:val="21"/>
          <w:szCs w:val="21"/>
        </w:rPr>
        <w:t xml:space="preserve">The endpoint takes the form:</w:t>
      </w:r>
    </w:p>
    <w:p>
      <w:pPr>
        <w:pBdr>
          <w:left w:val="single" w:color="2E75B6" w:sz="12" w:space="6"/>
        </w:pBdr>
        <w:shd w:fill="F2F2F2" w:val="clear"/>
        <w:spacing w:after="140" w:before="100" w:line="260"/>
        <w:ind w:left="120"/>
      </w:pPr>
      <w:r>
        <w:rPr>
          <w:rFonts w:ascii="Consolas" w:cs="Consolas" w:eastAsia="Consolas" w:hAnsi="Consolas"/>
          <w:sz w:val="18"/>
          <w:szCs w:val="18"/>
        </w:rPr>
        <w:t xml:space="preserve">https://&lt;ACCOUNT_ID&gt;.r2.cloudflarestorage.com</w:t>
      </w:r>
    </w:p>
    <w:tbl>
      <w:tblPr>
        <w:tblW w:type="dxa" w:w="9360"/>
        <w:tblBorders>
          <w:top w:val="single" w:color="E8A33D" w:sz="4"/>
          <w:left w:val="single" w:color="E8A33D" w:sz="18"/>
          <w:bottom w:val="single" w:color="E8A33D" w:sz="4"/>
          <w:right w:val="single" w:color="E8A33D" w:sz="4"/>
          <w:insideH w:val="single" w:color="auto" w:sz="4"/>
          <w:insideV w:val="single" w:color="auto" w:sz="4"/>
        </w:tblBorders>
      </w:tblPr>
      <w:tblGrid>
        <w:gridCol w:w="9360"/>
      </w:tblGrid>
      <w:tr>
        <w:tc>
          <w:tcPr>
            <w:tcW w:type="dxa" w:w="9360"/>
            <w:shd w:fill="FFF4E5" w:val="clear"/>
            <w:tcMar>
              <w:top w:type="dxa" w:w="140"/>
              <w:left w:type="dxa" w:w="180"/>
              <w:bottom w:type="dxa" w:w="140"/>
              <w:right w:type="dxa" w:w="180"/>
            </w:tcMar>
          </w:tcPr>
          <w:p>
            <w:pPr>
              <w:spacing w:after="80"/>
            </w:pPr>
            <w:r>
              <w:rPr>
                <w:b/>
                <w:bCs/>
                <w:color w:val="8A5A00"/>
                <w:sz w:val="21"/>
                <w:szCs w:val="21"/>
              </w:rPr>
              <w:t xml:space="preserve">The secret is shown once, at creation</w:t>
            </w:r>
          </w:p>
          <w:p>
            <w:pPr>
              <w:spacing w:after="60" w:line="280"/>
            </w:pPr>
            <w:r>
              <w:rPr>
                <w:sz w:val="21"/>
                <w:szCs w:val="21"/>
              </w:rPr>
              <w:t xml:space="preserve">If nobody has it, it cannot be recovered — create a new API token instead.</w:t>
            </w:r>
          </w:p>
          <w:p>
            <w:pPr>
              <w:spacing w:after="60" w:line="280"/>
            </w:pPr>
            <w:r>
              <w:rPr>
                <w:sz w:val="21"/>
                <w:szCs w:val="21"/>
              </w:rPr>
              <w:t xml:space="preserve">That is safe: tokens are independent, and issuing a new one does not affect the objects already in the bucket.</w:t>
            </w:r>
          </w:p>
          <w:p>
            <w:pPr>
              <w:spacing w:after="60" w:line="280"/>
            </w:pPr>
            <w:r>
              <w:rPr>
                <w:sz w:val="21"/>
                <w:szCs w:val="21"/>
              </w:rPr>
              <w:t xml:space="preserve">Permissions needed: read and write. The application uploads on chart upload, reads on chart view, and deletes on chart removal.</w:t>
            </w:r>
          </w:p>
        </w:tc>
      </w:tr>
    </w:tbl>
    <w:p>
      <w:pPr>
        <w:pStyle w:val="Heading3"/>
        <w:spacing w:after="100" w:before="200"/>
      </w:pPr>
      <w:r>
        <w:rPr>
          <w:b/>
          <w:bCs/>
          <w:color w:val="2E75B6"/>
          <w:sz w:val="22"/>
          <w:szCs w:val="22"/>
        </w:rPr>
        <w:t xml:space="preserve">Two routes for the move</w:t>
      </w:r>
    </w:p>
    <w:p>
      <w:pPr>
        <w:spacing w:after="120" w:line="280"/>
      </w:pPr>
      <w:r>
        <w:rPr>
          <w:b/>
          <w:bCs/>
          <w:sz w:val="21"/>
          <w:szCs w:val="21"/>
        </w:rPr>
        <w:t xml:space="preserve">Route A — keep Cloudflare, re-point the new backend at it.</w:t>
      </w:r>
      <w:r>
        <w:rPr>
          <w:sz w:val="21"/>
          <w:szCs w:val="21"/>
        </w:rPr>
        <w:t xml:space="preserve"> Fastest, and no data movement. The internal environment must be able to reach </w:t>
      </w:r>
      <w:r>
        <w:rPr>
          <w:rFonts w:ascii="Consolas" w:cs="Consolas" w:eastAsia="Consolas" w:hAnsi="Consolas"/>
          <w:color w:val="9C27B0"/>
          <w:sz w:val="19"/>
          <w:szCs w:val="19"/>
        </w:rPr>
        <w:t xml:space="preserve">*.r2.cloudflarestorage.com</w:t>
      </w:r>
      <w:r>
        <w:rPr>
          <w:sz w:val="21"/>
          <w:szCs w:val="21"/>
        </w:rPr>
        <w:t xml:space="preserve"> outbound. Keeps a dependency on an external provider, which your security team may or may not accept.</w:t>
      </w:r>
    </w:p>
    <w:p>
      <w:pPr>
        <w:spacing w:after="120" w:line="280"/>
      </w:pPr>
      <w:r>
        <w:rPr>
          <w:b/>
          <w:bCs/>
          <w:sz w:val="21"/>
          <w:szCs w:val="21"/>
        </w:rPr>
        <w:t xml:space="preserve">Route B — copy the bucket to internal storage.</w:t>
      </w:r>
      <w:r>
        <w:rPr>
          <w:sz w:val="21"/>
          <w:szCs w:val="21"/>
        </w:rPr>
        <w:t xml:space="preserve"> With rclone, which supports R2 and most S3-compatible targets natively:</w:t>
      </w:r>
    </w:p>
    <w:p>
      <w:pPr>
        <w:pBdr>
          <w:left w:val="single" w:color="2E75B6" w:sz="12" w:space="6"/>
        </w:pBdr>
        <w:shd w:fill="F2F2F2" w:val="clear"/>
        <w:spacing w:after="140" w:before="100" w:line="260"/>
        <w:ind w:left="120"/>
      </w:pPr>
      <w:r>
        <w:rPr>
          <w:rFonts w:ascii="Consolas" w:cs="Consolas" w:eastAsia="Consolas" w:hAnsi="Consolas"/>
          <w:sz w:val="18"/>
          <w:szCs w:val="18"/>
        </w:rPr>
        <w:t xml:space="preserve">rclone sync r2:SOURCE_BUCKET internal:TARGET_BUCKET --progress</w:t>
      </w:r>
    </w:p>
    <w:p>
      <w:pPr>
        <w:spacing w:after="120" w:line="280"/>
      </w:pPr>
      <w:r>
        <w:rPr>
          <w:sz w:val="21"/>
          <w:szCs w:val="21"/>
        </w:rPr>
        <w:t xml:space="preserve">Or with the AWS CLI, configured against R2's endpoint:</w:t>
      </w:r>
    </w:p>
    <w:p>
      <w:pPr>
        <w:pBdr>
          <w:left w:val="single" w:color="2E75B6" w:sz="12" w:space="6"/>
        </w:pBdr>
        <w:shd w:fill="F2F2F2" w:val="clear"/>
        <w:spacing w:after="140" w:before="100" w:line="260"/>
        <w:ind w:left="120"/>
      </w:pPr>
      <w:r>
        <w:rPr>
          <w:rFonts w:ascii="Consolas" w:cs="Consolas" w:eastAsia="Consolas" w:hAnsi="Consolas"/>
          <w:sz w:val="18"/>
          <w:szCs w:val="18"/>
        </w:rPr>
        <w:t xml:space="preserve">aws s3 sync s3://SOURCE_BUCKET s3://TARGET_BUCKET \</w:t>
      </w:r>
      <w:r>
        <w:br/>
      </w:r>
      <w:r>
        <w:rPr>
          <w:rFonts w:ascii="Consolas" w:cs="Consolas" w:eastAsia="Consolas" w:hAnsi="Consolas"/>
          <w:sz w:val="18"/>
          <w:szCs w:val="18"/>
        </w:rPr>
        <w:t xml:space="preserve">  --endpoint-url https://&lt;ACCOUNT_ID&gt;.r2.cloudflarestorage.com</w:t>
      </w:r>
    </w:p>
    <w:tbl>
      <w:tblPr>
        <w:tblW w:type="dxa" w:w="9360"/>
        <w:tblBorders>
          <w:top w:val="single" w:color="E8A33D" w:sz="4"/>
          <w:left w:val="single" w:color="E8A33D" w:sz="18"/>
          <w:bottom w:val="single" w:color="E8A33D" w:sz="4"/>
          <w:right w:val="single" w:color="E8A33D" w:sz="4"/>
          <w:insideH w:val="single" w:color="auto" w:sz="4"/>
          <w:insideV w:val="single" w:color="auto" w:sz="4"/>
        </w:tblBorders>
      </w:tblPr>
      <w:tblGrid>
        <w:gridCol w:w="9360"/>
      </w:tblGrid>
      <w:tr>
        <w:tc>
          <w:tcPr>
            <w:tcW w:type="dxa" w:w="9360"/>
            <w:shd w:fill="FFF4E5" w:val="clear"/>
            <w:tcMar>
              <w:top w:type="dxa" w:w="140"/>
              <w:left w:type="dxa" w:w="180"/>
              <w:bottom w:type="dxa" w:w="140"/>
              <w:right w:type="dxa" w:w="180"/>
            </w:tcMar>
          </w:tcPr>
          <w:p>
            <w:pPr>
              <w:spacing w:after="80"/>
            </w:pPr>
            <w:r>
              <w:rPr>
                <w:b/>
                <w:bCs/>
                <w:color w:val="8A5A00"/>
                <w:sz w:val="21"/>
                <w:szCs w:val="21"/>
              </w:rPr>
              <w:t xml:space="preserve">Preserve the object keys exactly</w:t>
            </w:r>
          </w:p>
          <w:p>
            <w:pPr>
              <w:spacing w:after="60" w:line="280"/>
            </w:pPr>
            <w:r>
              <w:rPr>
                <w:sz w:val="21"/>
                <w:szCs w:val="21"/>
              </w:rPr>
              <w:t xml:space="preserve">Keys are stored in </w:t>
            </w:r>
            <w:r>
              <w:rPr>
                <w:rFonts w:ascii="Consolas" w:cs="Consolas" w:eastAsia="Consolas" w:hAnsi="Consolas"/>
                <w:sz w:val="19"/>
                <w:szCs w:val="19"/>
              </w:rPr>
              <w:t xml:space="preserve">chart_files.storage_key</w:t>
            </w:r>
            <w:r>
              <w:rPr>
                <w:sz w:val="21"/>
                <w:szCs w:val="21"/>
              </w:rPr>
              <w:t xml:space="preserve"> and are how the database finds each image.</w:t>
            </w:r>
          </w:p>
          <w:p>
            <w:pPr>
              <w:spacing w:after="60" w:line="280"/>
            </w:pPr>
            <w:r>
              <w:rPr>
                <w:b/>
                <w:bCs/>
                <w:sz w:val="21"/>
                <w:szCs w:val="21"/>
              </w:rPr>
              <w:t xml:space="preserve">A copy that re-prefixes or renames keys silently breaks every chart.</w:t>
            </w:r>
          </w:p>
        </w:tc>
      </w:tr>
    </w:tbl>
    <w:p>
      <w:pPr>
        <w:pStyle w:val="Heading3"/>
        <w:spacing w:after="100" w:before="200"/>
      </w:pPr>
      <w:r>
        <w:rPr>
          <w:b/>
          <w:bCs/>
          <w:color w:val="2E75B6"/>
          <w:sz w:val="22"/>
          <w:szCs w:val="22"/>
        </w:rPr>
        <w:t xml:space="preserve">One trap in the environment variables</w:t>
      </w:r>
    </w:p>
    <w:p>
      <w:pPr>
        <w:spacing w:after="120" w:line="280"/>
      </w:pPr>
      <w:r>
        <w:rPr>
          <w:rFonts w:ascii="Consolas" w:cs="Consolas" w:eastAsia="Consolas" w:hAnsi="Consolas"/>
          <w:color w:val="9C27B0"/>
          <w:sz w:val="19"/>
          <w:szCs w:val="19"/>
        </w:rPr>
        <w:t xml:space="preserve">STORAGE_PUBLIC_URL</w:t>
      </w:r>
      <w:r>
        <w:rPr>
          <w:sz w:val="21"/>
          <w:szCs w:val="21"/>
        </w:rPr>
        <w:t xml:space="preserve"> is </w:t>
      </w:r>
      <w:r>
        <w:rPr>
          <w:b/>
          <w:bCs/>
          <w:sz w:val="21"/>
          <w:szCs w:val="21"/>
        </w:rPr>
        <w:t xml:space="preserve">required</w:t>
      </w:r>
      <w:r>
        <w:rPr>
          <w:sz w:val="21"/>
          <w:szCs w:val="21"/>
        </w:rPr>
        <w:t xml:space="preserve"> — the application will not start without it — but no application code reads it. It is a leftover.</w:t>
      </w:r>
    </w:p>
    <w:p>
      <w:pPr>
        <w:spacing w:after="120" w:line="280"/>
      </w:pPr>
      <w:r>
        <w:rPr>
          <w:sz w:val="21"/>
          <w:szCs w:val="21"/>
        </w:rPr>
        <w:t xml:space="preserve">Set it to anything non-empty (the bucket URL is the sensible choice) and do not spend time working out what it should point at. Flagged here because a team debugging a startup failure will otherwise go looking for the meaning of a variable that has none.</w:t>
      </w:r>
    </w:p>
    <w:p>
      <w:r>
        <w:br w:type="page"/>
      </w:r>
    </w:p>
    <w:p>
      <w:pPr>
        <w:pStyle w:val="Heading2"/>
        <w:spacing w:after="120" w:before="280"/>
      </w:pPr>
      <w:r>
        <w:rPr>
          <w:b/>
          <w:bCs/>
          <w:color w:val="1F3864"/>
          <w:sz w:val="24"/>
          <w:szCs w:val="24"/>
        </w:rPr>
        <w:t xml:space="preserve">2.4 Choosing a storage backend for the internal environment</w:t>
      </w:r>
    </w:p>
    <w:p>
      <w:pPr>
        <w:pStyle w:val="Heading3"/>
        <w:spacing w:after="100" w:before="200"/>
      </w:pPr>
      <w:r>
        <w:rPr>
          <w:b/>
          <w:bCs/>
          <w:color w:val="2E75B6"/>
          <w:sz w:val="22"/>
          <w:szCs w:val="22"/>
        </w:rPr>
        <w:t xml:space="preserve">What the application actually requires</w:t>
      </w:r>
    </w:p>
    <w:p>
      <w:pPr>
        <w:spacing w:after="120" w:line="280"/>
      </w:pPr>
      <w:r>
        <w:rPr>
          <w:sz w:val="21"/>
          <w:szCs w:val="21"/>
        </w:rPr>
        <w:t xml:space="preserve">Before comparing products, this is the whole requirement. The application performs exactly three storage operations: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800"/>
        <w:gridCol w:w="6560"/>
      </w:tblGrid>
      <w:tr>
        <w:trPr>
          <w:tblHeader/>
        </w:trPr>
        <w:tc>
          <w:tcPr>
            <w:tcW w:type="dxa" w:w="2800"/>
            <w:shd w:fill="DCE6F1" w:val="clear"/>
            <w:tcMar>
              <w:top w:type="dxa" w:w="90"/>
              <w:left w:type="dxa" w:w="130"/>
              <w:bottom w:type="dxa" w:w="90"/>
              <w:right w:type="dxa" w:w="130"/>
            </w:tcMar>
          </w:tcPr>
          <w:p>
            <w:r>
              <w:rPr>
                <w:b/>
                <w:bCs/>
                <w:color w:val="1F3864"/>
                <w:sz w:val="20"/>
                <w:szCs w:val="20"/>
              </w:rPr>
              <w:t xml:space="preserve">Operation</w:t>
            </w:r>
          </w:p>
        </w:tc>
        <w:tc>
          <w:tcPr>
            <w:tcW w:type="dxa" w:w="6560"/>
            <w:shd w:fill="DCE6F1" w:val="clear"/>
            <w:tcMar>
              <w:top w:type="dxa" w:w="90"/>
              <w:left w:type="dxa" w:w="130"/>
              <w:bottom w:type="dxa" w:w="90"/>
              <w:right w:type="dxa" w:w="130"/>
            </w:tcMar>
          </w:tcPr>
          <w:p>
            <w:r>
              <w:rPr>
                <w:b/>
                <w:bCs/>
                <w:color w:val="1F3864"/>
                <w:sz w:val="20"/>
                <w:szCs w:val="20"/>
              </w:rPr>
              <w:t xml:space="preserve">When</w:t>
            </w:r>
          </w:p>
        </w:tc>
      </w:tr>
      <w:tr>
        <w:tc>
          <w:tcPr>
            <w:tcW w:type="dxa" w:w="2800"/>
            <w:tcMar>
              <w:top w:type="dxa" w:w="90"/>
              <w:left w:type="dxa" w:w="130"/>
              <w:bottom w:type="dxa" w:w="90"/>
              <w:right w:type="dxa" w:w="130"/>
            </w:tcMar>
          </w:tcPr>
          <w:p>
            <w:r>
              <w:rPr>
                <w:rFonts w:ascii="Consolas" w:cs="Consolas" w:eastAsia="Consolas" w:hAnsi="Consolas"/>
                <w:sz w:val="18"/>
                <w:szCs w:val="18"/>
              </w:rPr>
              <w:t xml:space="preserve">put_object</w:t>
            </w:r>
          </w:p>
        </w:tc>
        <w:tc>
          <w:tcPr>
            <w:tcW w:type="dxa" w:w="6560"/>
            <w:tcMar>
              <w:top w:type="dxa" w:w="90"/>
              <w:left w:type="dxa" w:w="130"/>
              <w:bottom w:type="dxa" w:w="90"/>
              <w:right w:type="dxa" w:w="130"/>
            </w:tcMar>
          </w:tcPr>
          <w:p>
            <w:r>
              <w:rPr>
                <w:sz w:val="20"/>
                <w:szCs w:val="20"/>
              </w:rPr>
              <w:t xml:space="preserve">A chart is uploaded — one call per page</w:t>
            </w:r>
          </w:p>
        </w:tc>
      </w:tr>
      <w:tr>
        <w:tc>
          <w:tcPr>
            <w:tcW w:type="dxa" w:w="2800"/>
            <w:tcMar>
              <w:top w:type="dxa" w:w="90"/>
              <w:left w:type="dxa" w:w="130"/>
              <w:bottom w:type="dxa" w:w="90"/>
              <w:right w:type="dxa" w:w="130"/>
            </w:tcMar>
          </w:tcPr>
          <w:p>
            <w:r>
              <w:rPr>
                <w:rFonts w:ascii="Consolas" w:cs="Consolas" w:eastAsia="Consolas" w:hAnsi="Consolas"/>
                <w:sz w:val="18"/>
                <w:szCs w:val="18"/>
              </w:rPr>
              <w:t xml:space="preserve">get_object</w:t>
            </w:r>
          </w:p>
        </w:tc>
        <w:tc>
          <w:tcPr>
            <w:tcW w:type="dxa" w:w="6560"/>
            <w:tcMar>
              <w:top w:type="dxa" w:w="90"/>
              <w:left w:type="dxa" w:w="130"/>
              <w:bottom w:type="dxa" w:w="90"/>
              <w:right w:type="dxa" w:w="130"/>
            </w:tcMar>
          </w:tcPr>
          <w:p>
            <w:r>
              <w:rPr>
                <w:sz w:val="20"/>
                <w:szCs w:val="20"/>
              </w:rPr>
              <w:t xml:space="preserve">A chart page is viewed</w:t>
            </w:r>
          </w:p>
        </w:tc>
      </w:tr>
      <w:tr>
        <w:tc>
          <w:tcPr>
            <w:tcW w:type="dxa" w:w="2800"/>
            <w:tcMar>
              <w:top w:type="dxa" w:w="90"/>
              <w:left w:type="dxa" w:w="130"/>
              <w:bottom w:type="dxa" w:w="90"/>
              <w:right w:type="dxa" w:w="130"/>
            </w:tcMar>
          </w:tcPr>
          <w:p>
            <w:r>
              <w:rPr>
                <w:rFonts w:ascii="Consolas" w:cs="Consolas" w:eastAsia="Consolas" w:hAnsi="Consolas"/>
                <w:sz w:val="18"/>
                <w:szCs w:val="18"/>
              </w:rPr>
              <w:t xml:space="preserve">delete_object</w:t>
            </w:r>
          </w:p>
        </w:tc>
        <w:tc>
          <w:tcPr>
            <w:tcW w:type="dxa" w:w="6560"/>
            <w:tcMar>
              <w:top w:type="dxa" w:w="90"/>
              <w:left w:type="dxa" w:w="130"/>
              <w:bottom w:type="dxa" w:w="90"/>
              <w:right w:type="dxa" w:w="130"/>
            </w:tcMar>
          </w:tcPr>
          <w:p>
            <w:r>
              <w:rPr>
                <w:sz w:val="20"/>
                <w:szCs w:val="20"/>
              </w:rPr>
              <w:t xml:space="preserve">A chart is removed</w:t>
            </w:r>
          </w:p>
        </w:tc>
      </w:tr>
    </w:tbl>
    <w:p>
      <w:pPr>
        <w:spacing w:after="120" w:line="280"/>
      </w:pPr>
      <w:r>
        <w:rPr>
          <w:sz w:val="21"/>
          <w:szCs w:val="21"/>
        </w:rPr>
        <w:t xml:space="preserve">That is all. No listing, no multipart uploads, no versioning, no lifecycle rules, no ACLs, no bucket policies, no tagging, no presigned URLs. It stores blobs under keys and reads them back.</w:t>
      </w:r>
    </w:p>
    <w:p>
      <w:pPr>
        <w:spacing w:after="120" w:line="280"/>
      </w:pPr>
      <w:r>
        <w:rPr>
          <w:b/>
          <w:bCs/>
          <w:sz w:val="21"/>
          <w:szCs w:val="21"/>
        </w:rPr>
        <w:t xml:space="preserve">This is the least demanding thing an application can ask of object storage</w:t>
      </w:r>
      <w:r>
        <w:rPr>
          <w:sz w:val="21"/>
          <w:szCs w:val="21"/>
        </w:rPr>
        <w:t xml:space="preserve">, and it means the choice is governed by what your organisation already runs rather than by any capability the app needs.</w:t>
      </w:r>
    </w:p>
    <w:p>
      <w:pPr>
        <w:pStyle w:val="Heading3"/>
        <w:spacing w:after="100" w:before="200"/>
      </w:pPr>
      <w:r>
        <w:rPr>
          <w:b/>
          <w:bCs/>
          <w:color w:val="2E75B6"/>
          <w:sz w:val="22"/>
          <w:szCs w:val="22"/>
        </w:rPr>
        <w:t xml:space="preserve">Tier 1 — change three environment variables, no code change</w:t>
      </w:r>
    </w:p>
    <w:p>
      <w:pPr>
        <w:spacing w:after="120" w:line="280"/>
      </w:pPr>
      <w:r>
        <w:rPr>
          <w:sz w:val="21"/>
          <w:szCs w:val="21"/>
        </w:rPr>
        <w:t xml:space="preserve">Anything that speaks the S3 API. The client is built with a configurable </w:t>
      </w:r>
      <w:r>
        <w:rPr>
          <w:rFonts w:ascii="Consolas" w:cs="Consolas" w:eastAsia="Consolas" w:hAnsi="Consolas"/>
          <w:color w:val="9C27B0"/>
          <w:sz w:val="19"/>
          <w:szCs w:val="19"/>
        </w:rPr>
        <w:t xml:space="preserve">endpoint_url</w:t>
      </w:r>
      <w:r>
        <w:rPr>
          <w:sz w:val="21"/>
          <w:szCs w:val="21"/>
        </w:rPr>
        <w:t xml:space="preserve">, so it is already pointed at a non-AWS S3 service today.</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400"/>
        <w:gridCol w:w="5960"/>
      </w:tblGrid>
      <w:tr>
        <w:trPr>
          <w:tblHeader/>
        </w:trPr>
        <w:tc>
          <w:tcPr>
            <w:tcW w:type="dxa" w:w="3400"/>
            <w:shd w:fill="DCE6F1" w:val="clear"/>
            <w:tcMar>
              <w:top w:type="dxa" w:w="90"/>
              <w:left w:type="dxa" w:w="130"/>
              <w:bottom w:type="dxa" w:w="90"/>
              <w:right w:type="dxa" w:w="130"/>
            </w:tcMar>
          </w:tcPr>
          <w:p>
            <w:r>
              <w:rPr>
                <w:b/>
                <w:bCs/>
                <w:color w:val="1F3864"/>
                <w:sz w:val="20"/>
                <w:szCs w:val="20"/>
              </w:rPr>
              <w:t xml:space="preserve">Option</w:t>
            </w:r>
          </w:p>
        </w:tc>
        <w:tc>
          <w:tcPr>
            <w:tcW w:type="dxa" w:w="5960"/>
            <w:shd w:fill="DCE6F1" w:val="clear"/>
            <w:tcMar>
              <w:top w:type="dxa" w:w="90"/>
              <w:left w:type="dxa" w:w="130"/>
              <w:bottom w:type="dxa" w:w="90"/>
              <w:right w:type="dxa" w:w="130"/>
            </w:tcMar>
          </w:tcPr>
          <w:p>
            <w:r>
              <w:rPr>
                <w:b/>
                <w:bCs/>
                <w:color w:val="1F3864"/>
                <w:sz w:val="20"/>
                <w:szCs w:val="20"/>
              </w:rPr>
              <w:t xml:space="preserve">Typical enterprise context</w:t>
            </w:r>
          </w:p>
        </w:tc>
      </w:tr>
      <w:tr>
        <w:tc>
          <w:tcPr>
            <w:tcW w:type="dxa" w:w="3400"/>
            <w:tcMar>
              <w:top w:type="dxa" w:w="90"/>
              <w:left w:type="dxa" w:w="130"/>
              <w:bottom w:type="dxa" w:w="90"/>
              <w:right w:type="dxa" w:w="130"/>
            </w:tcMar>
          </w:tcPr>
          <w:p>
            <w:r>
              <w:rPr>
                <w:b/>
                <w:bCs/>
                <w:sz w:val="20"/>
                <w:szCs w:val="20"/>
              </w:rPr>
              <w:t xml:space="preserve">AWS S3</w:t>
            </w:r>
          </w:p>
        </w:tc>
        <w:tc>
          <w:tcPr>
            <w:tcW w:type="dxa" w:w="5960"/>
            <w:tcMar>
              <w:top w:type="dxa" w:w="90"/>
              <w:left w:type="dxa" w:w="130"/>
              <w:bottom w:type="dxa" w:w="90"/>
              <w:right w:type="dxa" w:w="130"/>
            </w:tcMar>
          </w:tcPr>
          <w:p>
            <w:r>
              <w:rPr>
                <w:sz w:val="20"/>
                <w:szCs w:val="20"/>
              </w:rPr>
              <w:t xml:space="preserve">Already on AWS; the reference implementation</w:t>
            </w:r>
          </w:p>
        </w:tc>
      </w:tr>
      <w:tr>
        <w:tc>
          <w:tcPr>
            <w:tcW w:type="dxa" w:w="3400"/>
            <w:tcMar>
              <w:top w:type="dxa" w:w="90"/>
              <w:left w:type="dxa" w:w="130"/>
              <w:bottom w:type="dxa" w:w="90"/>
              <w:right w:type="dxa" w:w="130"/>
            </w:tcMar>
          </w:tcPr>
          <w:p>
            <w:r>
              <w:rPr>
                <w:b/>
                <w:bCs/>
                <w:sz w:val="20"/>
                <w:szCs w:val="20"/>
              </w:rPr>
              <w:t xml:space="preserve">MinIO</w:t>
            </w:r>
          </w:p>
        </w:tc>
        <w:tc>
          <w:tcPr>
            <w:tcW w:type="dxa" w:w="5960"/>
            <w:tcMar>
              <w:top w:type="dxa" w:w="90"/>
              <w:left w:type="dxa" w:w="130"/>
              <w:bottom w:type="dxa" w:w="90"/>
              <w:right w:type="dxa" w:w="130"/>
            </w:tcMar>
          </w:tcPr>
          <w:p>
            <w:r>
              <w:rPr>
                <w:sz w:val="20"/>
                <w:szCs w:val="20"/>
              </w:rPr>
              <w:t xml:space="preserve">Self-hosted, in the org's own datacentre or Kubernetes. The common answer when data must not leave the building</w:t>
            </w:r>
          </w:p>
        </w:tc>
      </w:tr>
      <w:tr>
        <w:tc>
          <w:tcPr>
            <w:tcW w:type="dxa" w:w="3400"/>
            <w:tcMar>
              <w:top w:type="dxa" w:w="90"/>
              <w:left w:type="dxa" w:w="130"/>
              <w:bottom w:type="dxa" w:w="90"/>
              <w:right w:type="dxa" w:w="130"/>
            </w:tcMar>
          </w:tcPr>
          <w:p>
            <w:r>
              <w:rPr>
                <w:b/>
                <w:bCs/>
                <w:sz w:val="20"/>
                <w:szCs w:val="20"/>
              </w:rPr>
              <w:t xml:space="preserve">Ceph RADOS Gateway</w:t>
            </w:r>
          </w:p>
        </w:tc>
        <w:tc>
          <w:tcPr>
            <w:tcW w:type="dxa" w:w="5960"/>
            <w:tcMar>
              <w:top w:type="dxa" w:w="90"/>
              <w:left w:type="dxa" w:w="130"/>
              <w:bottom w:type="dxa" w:w="90"/>
              <w:right w:type="dxa" w:w="130"/>
            </w:tcMar>
          </w:tcPr>
          <w:p>
            <w:r>
              <w:rPr>
                <w:sz w:val="20"/>
                <w:szCs w:val="20"/>
              </w:rPr>
              <w:t xml:space="preserve">Org already runs Ceph for block/object storage</w:t>
            </w:r>
          </w:p>
        </w:tc>
      </w:tr>
      <w:tr>
        <w:tc>
          <w:tcPr>
            <w:tcW w:type="dxa" w:w="3400"/>
            <w:tcMar>
              <w:top w:type="dxa" w:w="90"/>
              <w:left w:type="dxa" w:w="130"/>
              <w:bottom w:type="dxa" w:w="90"/>
              <w:right w:type="dxa" w:w="130"/>
            </w:tcMar>
          </w:tcPr>
          <w:p>
            <w:r>
              <w:rPr>
                <w:b/>
                <w:bCs/>
                <w:sz w:val="20"/>
                <w:szCs w:val="20"/>
              </w:rPr>
              <w:t xml:space="preserve">Dell ECS, NetApp StorageGRID, Pure FlashBlade, Hitachi HCP</w:t>
            </w:r>
          </w:p>
        </w:tc>
        <w:tc>
          <w:tcPr>
            <w:tcW w:type="dxa" w:w="5960"/>
            <w:tcMar>
              <w:top w:type="dxa" w:w="90"/>
              <w:left w:type="dxa" w:w="130"/>
              <w:bottom w:type="dxa" w:w="90"/>
              <w:right w:type="dxa" w:w="130"/>
            </w:tcMar>
          </w:tcPr>
          <w:p>
            <w:r>
              <w:rPr>
                <w:sz w:val="20"/>
                <w:szCs w:val="20"/>
              </w:rPr>
              <w:t xml:space="preserve">On-premises enterprise object storage appliances, all with S3 front ends</w:t>
            </w:r>
          </w:p>
        </w:tc>
      </w:tr>
      <w:tr>
        <w:tc>
          <w:tcPr>
            <w:tcW w:type="dxa" w:w="3400"/>
            <w:tcMar>
              <w:top w:type="dxa" w:w="90"/>
              <w:left w:type="dxa" w:w="130"/>
              <w:bottom w:type="dxa" w:w="90"/>
              <w:right w:type="dxa" w:w="130"/>
            </w:tcMar>
          </w:tcPr>
          <w:p>
            <w:r>
              <w:rPr>
                <w:b/>
                <w:bCs/>
                <w:sz w:val="20"/>
                <w:szCs w:val="20"/>
              </w:rPr>
              <w:t xml:space="preserve">Google Cloud Storage</w:t>
            </w:r>
          </w:p>
        </w:tc>
        <w:tc>
          <w:tcPr>
            <w:tcW w:type="dxa" w:w="5960"/>
            <w:tcMar>
              <w:top w:type="dxa" w:w="90"/>
              <w:left w:type="dxa" w:w="130"/>
              <w:bottom w:type="dxa" w:w="90"/>
              <w:right w:type="dxa" w:w="130"/>
            </w:tcMar>
          </w:tcPr>
          <w:p>
            <w:r>
              <w:rPr>
                <w:sz w:val="20"/>
                <w:szCs w:val="20"/>
              </w:rPr>
              <w:t xml:space="preserve">Via its S3-compatible XML API with HMAC keys — works, but the least-travelled path of these</w:t>
            </w:r>
          </w:p>
        </w:tc>
      </w:tr>
      <w:tr>
        <w:tc>
          <w:tcPr>
            <w:tcW w:type="dxa" w:w="3400"/>
            <w:tcMar>
              <w:top w:type="dxa" w:w="90"/>
              <w:left w:type="dxa" w:w="130"/>
              <w:bottom w:type="dxa" w:w="90"/>
              <w:right w:type="dxa" w:w="130"/>
            </w:tcMar>
          </w:tcPr>
          <w:p>
            <w:r>
              <w:rPr>
                <w:b/>
                <w:bCs/>
                <w:sz w:val="20"/>
                <w:szCs w:val="20"/>
              </w:rPr>
              <w:t xml:space="preserve">Wasabi, Backblaze B2</w:t>
            </w:r>
          </w:p>
        </w:tc>
        <w:tc>
          <w:tcPr>
            <w:tcW w:type="dxa" w:w="5960"/>
            <w:tcMar>
              <w:top w:type="dxa" w:w="90"/>
              <w:left w:type="dxa" w:w="130"/>
              <w:bottom w:type="dxa" w:w="90"/>
              <w:right w:type="dxa" w:w="130"/>
            </w:tcMar>
          </w:tcPr>
          <w:p>
            <w:r>
              <w:rPr>
                <w:sz w:val="20"/>
                <w:szCs w:val="20"/>
              </w:rPr>
              <w:t xml:space="preserve">Lower-cost S3-compatible clouds; usually a cost decision rather than a policy one</w:t>
            </w:r>
          </w:p>
        </w:tc>
      </w:tr>
    </w:tbl>
    <w:p>
      <w:pPr>
        <w:spacing w:after="120" w:line="280"/>
      </w:pPr>
      <w:r>
        <w:rPr>
          <w:sz w:val="21"/>
          <w:szCs w:val="21"/>
        </w:rPr>
        <w:t xml:space="preserve">For all of these, the change is:</w:t>
      </w:r>
    </w:p>
    <w:p>
      <w:pPr>
        <w:pBdr>
          <w:left w:val="single" w:color="2E75B6" w:sz="12" w:space="6"/>
        </w:pBdr>
        <w:shd w:fill="F2F2F2" w:val="clear"/>
        <w:spacing w:after="140" w:before="100" w:line="260"/>
        <w:ind w:left="120"/>
      </w:pPr>
      <w:r>
        <w:rPr>
          <w:rFonts w:ascii="Consolas" w:cs="Consolas" w:eastAsia="Consolas" w:hAnsi="Consolas"/>
          <w:sz w:val="18"/>
          <w:szCs w:val="18"/>
        </w:rPr>
        <w:t xml:space="preserve">STORAGE_ENDPOINT_URL   →  the new service's endpoint</w:t>
      </w:r>
      <w:r>
        <w:br/>
      </w:r>
      <w:r>
        <w:rPr>
          <w:rFonts w:ascii="Consolas" w:cs="Consolas" w:eastAsia="Consolas" w:hAnsi="Consolas"/>
          <w:sz w:val="18"/>
          <w:szCs w:val="18"/>
        </w:rPr>
        <w:t xml:space="preserve">STORAGE_ACCESS_KEY     →  new access key</w:t>
      </w:r>
      <w:r>
        <w:br/>
      </w:r>
      <w:r>
        <w:rPr>
          <w:rFonts w:ascii="Consolas" w:cs="Consolas" w:eastAsia="Consolas" w:hAnsi="Consolas"/>
          <w:sz w:val="18"/>
          <w:szCs w:val="18"/>
        </w:rPr>
        <w:t xml:space="preserve">STORAGE_SECRET_KEY     →  new secret</w:t>
      </w:r>
      <w:r>
        <w:br/>
      </w:r>
      <w:r>
        <w:rPr>
          <w:rFonts w:ascii="Consolas" w:cs="Consolas" w:eastAsia="Consolas" w:hAnsi="Consolas"/>
          <w:sz w:val="18"/>
          <w:szCs w:val="18"/>
        </w:rPr>
        <w:t xml:space="preserve">STORAGE_BUCKET_NAME    →  new bucket (if renamed)</w:t>
      </w:r>
    </w:p>
    <w:p>
      <w:pPr>
        <w:pStyle w:val="Heading3"/>
        <w:spacing w:after="100" w:before="200"/>
      </w:pPr>
      <w:r>
        <w:rPr>
          <w:b/>
          <w:bCs/>
          <w:color w:val="2E75B6"/>
          <w:sz w:val="22"/>
          <w:szCs w:val="22"/>
        </w:rPr>
        <w:t xml:space="preserve">Tier 2 — replace three functions, roughly thirty lines</w:t>
      </w:r>
    </w:p>
    <w:p>
      <w:pPr>
        <w:spacing w:after="120" w:line="280"/>
      </w:pPr>
      <w:r>
        <w:rPr>
          <w:sz w:val="21"/>
          <w:szCs w:val="21"/>
        </w:rPr>
        <w:t xml:space="preserve">Backends that do not speak S3. In practice this means one:</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400"/>
        <w:gridCol w:w="5960"/>
      </w:tblGrid>
      <w:tr>
        <w:trPr>
          <w:tblHeader/>
        </w:trPr>
        <w:tc>
          <w:tcPr>
            <w:tcW w:type="dxa" w:w="3400"/>
            <w:shd w:fill="DCE6F1" w:val="clear"/>
            <w:tcMar>
              <w:top w:type="dxa" w:w="90"/>
              <w:left w:type="dxa" w:w="130"/>
              <w:bottom w:type="dxa" w:w="90"/>
              <w:right w:type="dxa" w:w="130"/>
            </w:tcMar>
          </w:tcPr>
          <w:p>
            <w:r>
              <w:rPr>
                <w:b/>
                <w:bCs/>
                <w:color w:val="1F3864"/>
                <w:sz w:val="20"/>
                <w:szCs w:val="20"/>
              </w:rPr>
              <w:t xml:space="preserve">Option</w:t>
            </w:r>
          </w:p>
        </w:tc>
        <w:tc>
          <w:tcPr>
            <w:tcW w:type="dxa" w:w="5960"/>
            <w:shd w:fill="DCE6F1" w:val="clear"/>
            <w:tcMar>
              <w:top w:type="dxa" w:w="90"/>
              <w:left w:type="dxa" w:w="130"/>
              <w:bottom w:type="dxa" w:w="90"/>
              <w:right w:type="dxa" w:w="130"/>
            </w:tcMar>
          </w:tcPr>
          <w:p>
            <w:r>
              <w:rPr>
                <w:b/>
                <w:bCs/>
                <w:color w:val="1F3864"/>
                <w:sz w:val="20"/>
                <w:szCs w:val="20"/>
              </w:rPr>
              <w:t xml:space="preserve">Why it comes up</w:t>
            </w:r>
          </w:p>
        </w:tc>
      </w:tr>
      <w:tr>
        <w:tc>
          <w:tcPr>
            <w:tcW w:type="dxa" w:w="3400"/>
            <w:tcMar>
              <w:top w:type="dxa" w:w="90"/>
              <w:left w:type="dxa" w:w="130"/>
              <w:bottom w:type="dxa" w:w="90"/>
              <w:right w:type="dxa" w:w="130"/>
            </w:tcMar>
          </w:tcPr>
          <w:p>
            <w:r>
              <w:rPr>
                <w:b/>
                <w:bCs/>
                <w:sz w:val="20"/>
                <w:szCs w:val="20"/>
              </w:rPr>
              <w:t xml:space="preserve">Azure Blob Storage</w:t>
            </w:r>
          </w:p>
        </w:tc>
        <w:tc>
          <w:tcPr>
            <w:tcW w:type="dxa" w:w="5960"/>
            <w:tcMar>
              <w:top w:type="dxa" w:w="90"/>
              <w:left w:type="dxa" w:w="130"/>
              <w:bottom w:type="dxa" w:w="90"/>
              <w:right w:type="dxa" w:w="130"/>
            </w:tcMar>
          </w:tcPr>
          <w:p>
            <w:r>
              <w:rPr>
                <w:sz w:val="20"/>
                <w:szCs w:val="20"/>
              </w:rPr>
              <w:t xml:space="preserve">The single most likely alternative in a Microsoft-centric organisation. It has no native S3 API</w:t>
            </w:r>
          </w:p>
        </w:tc>
      </w:tr>
    </w:tbl>
    <w:p>
      <w:pPr>
        <w:spacing w:after="120" w:line="280"/>
      </w:pPr>
      <w:r>
        <w:rPr>
          <w:rFonts w:ascii="Consolas" w:cs="Consolas" w:eastAsia="Consolas" w:hAnsi="Consolas"/>
          <w:color w:val="9C27B0"/>
          <w:sz w:val="19"/>
          <w:szCs w:val="19"/>
        </w:rPr>
        <w:t xml:space="preserve">services/storage.py</w:t>
      </w:r>
      <w:r>
        <w:rPr>
          <w:sz w:val="21"/>
          <w:szCs w:val="21"/>
        </w:rPr>
        <w:t xml:space="preserve"> wraps the three operations. Swapping their bodies for the Azure SDK (</w:t>
      </w:r>
      <w:r>
        <w:rPr>
          <w:rFonts w:ascii="Consolas" w:cs="Consolas" w:eastAsia="Consolas" w:hAnsi="Consolas"/>
          <w:color w:val="9C27B0"/>
          <w:sz w:val="19"/>
          <w:szCs w:val="19"/>
        </w:rPr>
        <w:t xml:space="preserve">azure-storage-blob</w:t>
      </w:r>
      <w:r>
        <w:rPr>
          <w:sz w:val="21"/>
          <w:szCs w:val="21"/>
        </w:rPr>
        <w:t xml:space="preserve">) is a contained change — the rest of the application calls those wrappers and never touches boto3 directly, with one exception noted below.</w:t>
      </w:r>
    </w:p>
    <w:p>
      <w:pPr>
        <w:pStyle w:val="Heading3"/>
        <w:spacing w:after="100" w:before="200"/>
      </w:pPr>
      <w:r>
        <w:rPr>
          <w:b/>
          <w:bCs/>
          <w:color w:val="2E75B6"/>
          <w:sz w:val="22"/>
          <w:szCs w:val="22"/>
        </w:rPr>
        <w:t xml:space="preserve">Tier 3 — same three functions, plus think about durability</w:t>
      </w:r>
    </w:p>
    <w:p>
      <w:pPr>
        <w:spacing w:after="120" w:line="280"/>
      </w:pPr>
      <w:r>
        <w:rPr>
          <w:sz w:val="21"/>
          <w:szCs w:val="21"/>
        </w:rPr>
        <w:t xml:space="preserve">A mounted file share (NFS, SMB) or the server's own disk. Simplest to implement — write to a path, read from a path — but the storage is then only as safe as that volume's backup, and running more than one API instance requires shared storage rather than local disk. Reasonable for a single-server internal deployment; a step backwards from object storage otherwise.</w:t>
      </w:r>
    </w:p>
    <w:tbl>
      <w:tblPr>
        <w:tblW w:type="dxa" w:w="9360"/>
        <w:tblBorders>
          <w:top w:val="single" w:color="E8A33D" w:sz="4"/>
          <w:left w:val="single" w:color="E8A33D" w:sz="18"/>
          <w:bottom w:val="single" w:color="E8A33D" w:sz="4"/>
          <w:right w:val="single" w:color="E8A33D" w:sz="4"/>
          <w:insideH w:val="single" w:color="auto" w:sz="4"/>
          <w:insideV w:val="single" w:color="auto" w:sz="4"/>
        </w:tblBorders>
      </w:tblPr>
      <w:tblGrid>
        <w:gridCol w:w="9360"/>
      </w:tblGrid>
      <w:tr>
        <w:tc>
          <w:tcPr>
            <w:tcW w:type="dxa" w:w="9360"/>
            <w:shd w:fill="FFF4E5" w:val="clear"/>
            <w:tcMar>
              <w:top w:type="dxa" w:w="140"/>
              <w:left w:type="dxa" w:w="180"/>
              <w:bottom w:type="dxa" w:w="140"/>
              <w:right w:type="dxa" w:w="180"/>
            </w:tcMar>
          </w:tcPr>
          <w:p>
            <w:pPr>
              <w:spacing w:after="80"/>
            </w:pPr>
            <w:r>
              <w:rPr>
                <w:b/>
                <w:bCs/>
                <w:color w:val="8A5A00"/>
                <w:sz w:val="21"/>
                <w:szCs w:val="21"/>
              </w:rPr>
              <w:t xml:space="preserve">Tidy this before a Tier 2 or 3 move</w:t>
            </w:r>
          </w:p>
          <w:p>
            <w:pPr>
              <w:spacing w:after="60" w:line="280"/>
            </w:pPr>
            <w:r>
              <w:rPr>
                <w:rFonts w:ascii="Consolas" w:cs="Consolas" w:eastAsia="Consolas" w:hAnsi="Consolas"/>
                <w:sz w:val="19"/>
                <w:szCs w:val="19"/>
              </w:rPr>
              <w:t xml:space="preserve">routers/charts.py</w:t>
            </w:r>
            <w:r>
              <w:rPr>
                <w:sz w:val="21"/>
                <w:szCs w:val="21"/>
              </w:rPr>
              <w:t xml:space="preserve"> calls </w:t>
            </w:r>
            <w:r>
              <w:rPr>
                <w:rFonts w:ascii="Consolas" w:cs="Consolas" w:eastAsia="Consolas" w:hAnsi="Consolas"/>
                <w:sz w:val="19"/>
                <w:szCs w:val="19"/>
              </w:rPr>
              <w:t xml:space="preserve">get_object()</w:t>
            </w:r>
            <w:r>
              <w:rPr>
                <w:sz w:val="21"/>
                <w:szCs w:val="21"/>
              </w:rPr>
              <w:t xml:space="preserve"> directly rather than going through </w:t>
            </w:r>
            <w:r>
              <w:rPr>
                <w:rFonts w:ascii="Consolas" w:cs="Consolas" w:eastAsia="Consolas" w:hAnsi="Consolas"/>
                <w:sz w:val="19"/>
                <w:szCs w:val="19"/>
              </w:rPr>
              <w:t xml:space="preserve">services/storage.py</w:t>
            </w:r>
            <w:r>
              <w:rPr>
                <w:sz w:val="21"/>
                <w:szCs w:val="21"/>
              </w:rPr>
              <w:t xml:space="preserve">. Everything else uses the wrapper.</w:t>
            </w:r>
          </w:p>
          <w:p>
            <w:pPr>
              <w:spacing w:after="60" w:line="280"/>
            </w:pPr>
            <w:r>
              <w:rPr>
                <w:b/>
                <w:bCs/>
                <w:sz w:val="21"/>
                <w:szCs w:val="21"/>
              </w:rPr>
              <w:t xml:space="preserve">Move that one call behind the wrapper first, so the storage implementation lives in exactly one file. It is a small change and it turns a two-file swap into a one-file swap.</w:t>
            </w:r>
          </w:p>
        </w:tc>
      </w:tr>
    </w:tbl>
    <w:p>
      <w:pPr>
        <w:pStyle w:val="Heading3"/>
        <w:spacing w:after="100" w:before="200"/>
      </w:pPr>
      <w:r>
        <w:rPr>
          <w:b/>
          <w:bCs/>
          <w:color w:val="2E75B6"/>
          <w:sz w:val="22"/>
          <w:szCs w:val="22"/>
        </w:rPr>
        <w:t xml:space="preserve">The recommendation</w:t>
      </w:r>
    </w:p>
    <w:p>
      <w:pPr>
        <w:spacing w:after="120" w:line="280"/>
      </w:pPr>
      <w:r>
        <w:rPr>
          <w:sz w:val="21"/>
          <w:szCs w:val="21"/>
        </w:rPr>
        <w:t xml:space="preserve">If the organisation has </w:t>
      </w:r>
      <w:r>
        <w:rPr>
          <w:b/>
          <w:bCs/>
          <w:sz w:val="21"/>
          <w:szCs w:val="21"/>
        </w:rPr>
        <w:t xml:space="preserve">any</w:t>
      </w:r>
      <w:r>
        <w:rPr>
          <w:sz w:val="21"/>
          <w:szCs w:val="21"/>
        </w:rPr>
        <w:t xml:space="preserve"> existing object storage — Ceph, MinIO, StorageGRID, ECS, an AWS account — use it. It is a Tier 1 move: three variables, no code, no testing burden beyond the smoke test.</w:t>
      </w:r>
    </w:p>
    <w:p>
      <w:pPr>
        <w:spacing w:after="120" w:line="280"/>
      </w:pPr>
      <w:r>
        <w:rPr>
          <w:sz w:val="21"/>
          <w:szCs w:val="21"/>
        </w:rPr>
        <w:t xml:space="preserve">Reach for Azure Blob only if the organisation is Azure-standardised and object storage elsewhere would be an exception to policy. The work is small but it is real code, and code needs testing that configuration does not.</w:t>
      </w:r>
    </w:p>
    <w:p>
      <w:pPr>
        <w:spacing w:after="120" w:line="280"/>
      </w:pPr>
      <w:r>
        <w:rPr>
          <w:sz w:val="21"/>
          <w:szCs w:val="21"/>
        </w:rPr>
        <w:t xml:space="preserve">Avoid the file-share option unless the deployment is genuinely single-server and expected to stay that way.</w:t>
      </w:r>
    </w:p>
    <w:p>
      <w:pPr>
        <w:pStyle w:val="Heading3"/>
        <w:spacing w:after="100" w:before="200"/>
      </w:pPr>
      <w:r>
        <w:rPr>
          <w:b/>
          <w:bCs/>
          <w:color w:val="2E75B6"/>
          <w:sz w:val="22"/>
          <w:szCs w:val="22"/>
        </w:rPr>
        <w:t xml:space="preserve">What does not change, whichever is chosen</w:t>
      </w:r>
    </w:p>
    <w:p>
      <w:pPr>
        <w:pStyle w:val="ListParagraph"/>
        <w:numPr>
          <w:ilvl w:val="0"/>
          <w:numId w:val="2"/>
        </w:numPr>
        <w:spacing w:after="80" w:line="280"/>
      </w:pPr>
      <w:r>
        <w:rPr>
          <w:sz w:val="21"/>
          <w:szCs w:val="21"/>
        </w:rPr>
        <w:t xml:space="preserve">The database is untouched. </w:t>
      </w:r>
      <w:r>
        <w:rPr>
          <w:rFonts w:ascii="Consolas" w:cs="Consolas" w:eastAsia="Consolas" w:hAnsi="Consolas"/>
          <w:color w:val="9C27B0"/>
          <w:sz w:val="19"/>
          <w:szCs w:val="19"/>
        </w:rPr>
        <w:t xml:space="preserve">chart_files.storage_key</w:t>
      </w:r>
      <w:r>
        <w:rPr>
          <w:sz w:val="21"/>
          <w:szCs w:val="21"/>
        </w:rPr>
        <w:t xml:space="preserve"> holds the same keys</w:t>
      </w:r>
    </w:p>
    <w:p>
      <w:pPr>
        <w:pStyle w:val="ListParagraph"/>
        <w:numPr>
          <w:ilvl w:val="0"/>
          <w:numId w:val="2"/>
        </w:numPr>
        <w:spacing w:after="80" w:line="280"/>
      </w:pPr>
      <w:r>
        <w:rPr>
          <w:sz w:val="21"/>
          <w:szCs w:val="21"/>
        </w:rPr>
        <w:t xml:space="preserve">The browser still never contacts storage — the API proxies every image</w:t>
      </w:r>
    </w:p>
    <w:p>
      <w:pPr>
        <w:pStyle w:val="ListParagraph"/>
        <w:numPr>
          <w:ilvl w:val="0"/>
          <w:numId w:val="2"/>
        </w:numPr>
        <w:spacing w:after="80" w:line="280"/>
      </w:pPr>
      <w:r>
        <w:rPr>
          <w:sz w:val="21"/>
          <w:szCs w:val="21"/>
        </w:rPr>
        <w:t xml:space="preserve">No CORS configuration is needed on the new backend</w:t>
      </w:r>
    </w:p>
    <w:p>
      <w:pPr>
        <w:pStyle w:val="ListParagraph"/>
        <w:numPr>
          <w:ilvl w:val="0"/>
          <w:numId w:val="2"/>
        </w:numPr>
        <w:spacing w:after="80" w:line="280"/>
      </w:pPr>
      <w:r>
        <w:rPr>
          <w:sz w:val="21"/>
          <w:szCs w:val="21"/>
        </w:rPr>
        <w:t xml:space="preserve">The bucket needs to be reachable only from the backend, so it can sit entirely inside the internal network</w:t>
      </w:r>
    </w:p>
    <w:p>
      <w:r>
        <w:br w:type="page"/>
      </w:r>
    </w:p>
    <w:p>
      <w:pPr>
        <w:pStyle w:val="Heading1"/>
        <w:spacing w:after="160" w:before="360"/>
      </w:pPr>
      <w:r>
        <w:rPr>
          <w:b/>
          <w:bCs/>
          <w:color w:val="1F3864"/>
          <w:sz w:val="30"/>
          <w:szCs w:val="30"/>
        </w:rPr>
        <w:t xml:space="preserve">3. Migration runbook</w:t>
      </w:r>
    </w:p>
    <w:p>
      <w:pPr>
        <w:pStyle w:val="Heading2"/>
        <w:spacing w:after="120" w:before="280"/>
      </w:pPr>
      <w:r>
        <w:rPr>
          <w:b/>
          <w:bCs/>
          <w:color w:val="1F3864"/>
          <w:sz w:val="24"/>
          <w:szCs w:val="24"/>
        </w:rPr>
        <w:t xml:space="preserve">3.1 The short answer to "send us the scripts and backup"</w:t>
      </w:r>
    </w:p>
    <w:p>
      <w:pPr>
        <w:spacing w:after="120" w:line="280"/>
      </w:pPr>
      <w:r>
        <w:rPr>
          <w:b/>
          <w:bCs/>
          <w:sz w:val="21"/>
          <w:szCs w:val="21"/>
        </w:rPr>
        <w:t xml:space="preserve">There is no schema script to send.</w:t>
      </w:r>
      <w:r>
        <w:rPr>
          <w:sz w:val="21"/>
          <w:szCs w:val="21"/>
        </w:rPr>
        <w:t xml:space="preserve"> This application has no </w:t>
      </w:r>
      <w:r>
        <w:rPr>
          <w:rFonts w:ascii="Consolas" w:cs="Consolas" w:eastAsia="Consolas" w:hAnsi="Consolas"/>
          <w:color w:val="9C27B0"/>
          <w:sz w:val="19"/>
          <w:szCs w:val="19"/>
        </w:rPr>
        <w:t xml:space="preserve">schema.sql</w:t>
      </w:r>
      <w:r>
        <w:rPr>
          <w:sz w:val="21"/>
          <w:szCs w:val="21"/>
        </w:rPr>
        <w:t xml:space="preserve"> and no Alembic. It creates its own schema on first boot:</w:t>
      </w:r>
    </w:p>
    <w:p>
      <w:pPr>
        <w:pBdr>
          <w:left w:val="single" w:color="2E75B6" w:sz="12" w:space="6"/>
        </w:pBdr>
        <w:shd w:fill="F2F2F2" w:val="clear"/>
        <w:spacing w:after="140" w:before="100" w:line="260"/>
        <w:ind w:left="120"/>
      </w:pPr>
      <w:r>
        <w:rPr>
          <w:rFonts w:ascii="Consolas" w:cs="Consolas" w:eastAsia="Consolas" w:hAnsi="Consolas"/>
          <w:sz w:val="18"/>
          <w:szCs w:val="18"/>
        </w:rPr>
        <w:t xml:space="preserve">def init_db():</w:t>
      </w:r>
      <w:r>
        <w:br/>
      </w:r>
      <w:r>
        <w:rPr>
          <w:rFonts w:ascii="Consolas" w:cs="Consolas" w:eastAsia="Consolas" w:hAnsi="Consolas"/>
          <w:sz w:val="18"/>
          <w:szCs w:val="18"/>
        </w:rPr>
        <w:t xml:space="preserve">    Base.metadata.create_all(bind=engine)   # tables defined as ORM models</w:t>
      </w:r>
      <w:r>
        <w:br/>
      </w:r>
      <w:r>
        <w:rPr>
          <w:rFonts w:ascii="Consolas" w:cs="Consolas" w:eastAsia="Consolas" w:hAnsi="Consolas"/>
          <w:sz w:val="18"/>
          <w:szCs w:val="18"/>
        </w:rPr>
        <w:t xml:space="preserve">    _run_migrations()                       # 21 raw CREATE TABLE + ~100 ALTERs</w:t>
      </w:r>
    </w:p>
    <w:p>
      <w:pPr>
        <w:spacing w:after="120" w:line="280"/>
      </w:pPr>
      <w:r>
        <w:rPr>
          <w:sz w:val="21"/>
          <w:szCs w:val="21"/>
        </w:rPr>
        <w:t xml:space="preserve">So the schema is the application. Point the API at an empty PostgreSQL database, set the environment variables, start it, and it builds everything.</w:t>
      </w:r>
    </w:p>
    <w:p>
      <w:pPr>
        <w:spacing w:after="120" w:line="280"/>
      </w:pPr>
      <w:r>
        <w:rPr>
          <w:sz w:val="21"/>
          <w:szCs w:val="21"/>
        </w:rPr>
        <w:t xml:space="preserve">The backup is a normal </w:t>
      </w:r>
      <w:r>
        <w:rPr>
          <w:rFonts w:ascii="Consolas" w:cs="Consolas" w:eastAsia="Consolas" w:hAnsi="Consolas"/>
          <w:color w:val="9C27B0"/>
          <w:sz w:val="19"/>
          <w:szCs w:val="19"/>
        </w:rPr>
        <w:t xml:space="preserve">pg_dump</w:t>
      </w:r>
      <w:r>
        <w:rPr>
          <w:sz w:val="21"/>
          <w:szCs w:val="21"/>
        </w:rPr>
        <w:t xml:space="preserve">. That part is conventional — see 3.4.</w:t>
      </w:r>
    </w:p>
    <w:tbl>
      <w:tblPr>
        <w:tblW w:type="dxa" w:w="9360"/>
        <w:tblBorders>
          <w:top w:val="single" w:color="E8A33D" w:sz="4"/>
          <w:left w:val="single" w:color="E8A33D" w:sz="18"/>
          <w:bottom w:val="single" w:color="E8A33D" w:sz="4"/>
          <w:right w:val="single" w:color="E8A33D" w:sz="4"/>
          <w:insideH w:val="single" w:color="auto" w:sz="4"/>
          <w:insideV w:val="single" w:color="auto" w:sz="4"/>
        </w:tblBorders>
      </w:tblPr>
      <w:tblGrid>
        <w:gridCol w:w="9360"/>
      </w:tblGrid>
      <w:tr>
        <w:tc>
          <w:tcPr>
            <w:tcW w:type="dxa" w:w="9360"/>
            <w:shd w:fill="FFF4E5" w:val="clear"/>
            <w:tcMar>
              <w:top w:type="dxa" w:w="140"/>
              <w:left w:type="dxa" w:w="180"/>
              <w:bottom w:type="dxa" w:w="140"/>
              <w:right w:type="dxa" w:w="180"/>
            </w:tcMar>
          </w:tcPr>
          <w:p>
            <w:pPr>
              <w:spacing w:after="80"/>
            </w:pPr>
            <w:r>
              <w:rPr>
                <w:b/>
                <w:bCs/>
                <w:color w:val="8A5A00"/>
                <w:sz w:val="21"/>
                <w:szCs w:val="21"/>
              </w:rPr>
              <w:t xml:space="preserve">Do not build the schema by hand from the ORM models</w:t>
            </w:r>
          </w:p>
          <w:p>
            <w:pPr>
              <w:spacing w:after="60" w:line="280"/>
            </w:pPr>
            <w:r>
              <w:rPr>
                <w:sz w:val="21"/>
                <w:szCs w:val="21"/>
              </w:rPr>
              <w:t xml:space="preserve">Six tables exist only in the raw migration DDL and are absent from the models: </w:t>
            </w:r>
            <w:r>
              <w:rPr>
                <w:rFonts w:ascii="Consolas" w:cs="Consolas" w:eastAsia="Consolas" w:hAnsi="Consolas"/>
                <w:sz w:val="19"/>
                <w:szCs w:val="19"/>
              </w:rPr>
              <w:t xml:space="preserve">em_answer_keys, em_grading_results, em_scoring_configs, practice_sessions, practice_chart_drafts, practice_results</w:t>
            </w:r>
            <w:r>
              <w:rPr>
                <w:sz w:val="21"/>
                <w:szCs w:val="21"/>
              </w:rPr>
              <w:t xml:space="preserve">.</w:t>
            </w:r>
          </w:p>
          <w:p>
            <w:pPr>
              <w:spacing w:after="60" w:line="280"/>
            </w:pPr>
            <w:r>
              <w:rPr>
                <w:rFonts w:ascii="Consolas" w:cs="Consolas" w:eastAsia="Consolas" w:hAnsi="Consolas"/>
                <w:sz w:val="19"/>
                <w:szCs w:val="19"/>
              </w:rPr>
              <w:t xml:space="preserve">create_all()</w:t>
            </w:r>
            <w:r>
              <w:rPr>
                <w:sz w:val="21"/>
                <w:szCs w:val="21"/>
              </w:rPr>
              <w:t xml:space="preserve"> alone produces a database that looks right and is missing the entire E/M and practice-session subsystem.</w:t>
            </w:r>
          </w:p>
        </w:tc>
      </w:tr>
    </w:tbl>
    <w:p>
      <w:pPr>
        <w:pStyle w:val="Heading2"/>
        <w:spacing w:after="120" w:before="280"/>
      </w:pPr>
      <w:r>
        <w:rPr>
          <w:b/>
          <w:bCs/>
          <w:color w:val="1F3864"/>
          <w:sz w:val="24"/>
          <w:szCs w:val="24"/>
        </w:rPr>
        <w:t xml:space="preserve">3.2 What the application needs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6760"/>
      </w:tblGrid>
      <w:tr>
        <w:trPr>
          <w:tblHeader/>
        </w:trPr>
        <w:tc>
          <w:tcPr>
            <w:tcW w:type="dxa" w:w="2600"/>
            <w:shd w:fill="DCE6F1" w:val="clear"/>
            <w:tcMar>
              <w:top w:type="dxa" w:w="90"/>
              <w:left w:type="dxa" w:w="130"/>
              <w:bottom w:type="dxa" w:w="90"/>
              <w:right w:type="dxa" w:w="130"/>
            </w:tcMar>
          </w:tcPr>
          <w:p>
            <w:r>
              <w:rPr>
                <w:b/>
                <w:bCs/>
                <w:color w:val="1F3864"/>
                <w:sz w:val="20"/>
                <w:szCs w:val="20"/>
              </w:rPr>
              <w:t xml:space="preserve">Component</w:t>
            </w:r>
          </w:p>
        </w:tc>
        <w:tc>
          <w:tcPr>
            <w:tcW w:type="dxa" w:w="6760"/>
            <w:shd w:fill="DCE6F1" w:val="clear"/>
            <w:tcMar>
              <w:top w:type="dxa" w:w="90"/>
              <w:left w:type="dxa" w:w="130"/>
              <w:bottom w:type="dxa" w:w="90"/>
              <w:right w:type="dxa" w:w="130"/>
            </w:tcMar>
          </w:tcPr>
          <w:p>
            <w:r>
              <w:rPr>
                <w:b/>
                <w:bCs/>
                <w:color w:val="1F3864"/>
                <w:sz w:val="20"/>
                <w:szCs w:val="20"/>
              </w:rPr>
              <w:t xml:space="preserve">Requirement</w:t>
            </w:r>
          </w:p>
        </w:tc>
      </w:tr>
      <w:tr>
        <w:tc>
          <w:tcPr>
            <w:tcW w:type="dxa" w:w="2600"/>
            <w:tcMar>
              <w:top w:type="dxa" w:w="90"/>
              <w:left w:type="dxa" w:w="130"/>
              <w:bottom w:type="dxa" w:w="90"/>
              <w:right w:type="dxa" w:w="130"/>
            </w:tcMar>
          </w:tcPr>
          <w:p>
            <w:r>
              <w:rPr>
                <w:sz w:val="20"/>
                <w:szCs w:val="20"/>
              </w:rPr>
              <w:t xml:space="preserve">Database</w:t>
            </w:r>
          </w:p>
        </w:tc>
        <w:tc>
          <w:tcPr>
            <w:tcW w:type="dxa" w:w="6760"/>
            <w:tcMar>
              <w:top w:type="dxa" w:w="90"/>
              <w:left w:type="dxa" w:w="130"/>
              <w:bottom w:type="dxa" w:w="90"/>
              <w:right w:type="dxa" w:w="130"/>
            </w:tcMar>
          </w:tcPr>
          <w:p>
            <w:r>
              <w:rPr>
                <w:sz w:val="20"/>
                <w:szCs w:val="20"/>
              </w:rPr>
              <w:t xml:space="preserve">PostgreSQL. Confirm the source version first — see 3.4.1</w:t>
            </w:r>
          </w:p>
        </w:tc>
      </w:tr>
      <w:tr>
        <w:tc>
          <w:tcPr>
            <w:tcW w:type="dxa" w:w="2600"/>
            <w:tcMar>
              <w:top w:type="dxa" w:w="90"/>
              <w:left w:type="dxa" w:w="130"/>
              <w:bottom w:type="dxa" w:w="90"/>
              <w:right w:type="dxa" w:w="130"/>
            </w:tcMar>
          </w:tcPr>
          <w:p>
            <w:r>
              <w:rPr>
                <w:sz w:val="20"/>
                <w:szCs w:val="20"/>
              </w:rPr>
              <w:t xml:space="preserve">API runtime</w:t>
            </w:r>
          </w:p>
        </w:tc>
        <w:tc>
          <w:tcPr>
            <w:tcW w:type="dxa" w:w="6760"/>
            <w:tcMar>
              <w:top w:type="dxa" w:w="90"/>
              <w:left w:type="dxa" w:w="130"/>
              <w:bottom w:type="dxa" w:w="90"/>
              <w:right w:type="dxa" w:w="130"/>
            </w:tcMar>
          </w:tcPr>
          <w:p>
            <w:r>
              <w:rPr>
                <w:sz w:val="20"/>
                <w:szCs w:val="20"/>
              </w:rPr>
              <w:t xml:space="preserve">Python 3.11.9 (</w:t>
            </w:r>
            <w:r>
              <w:rPr>
                <w:rFonts w:ascii="Consolas" w:cs="Consolas" w:eastAsia="Consolas" w:hAnsi="Consolas"/>
                <w:sz w:val="18"/>
                <w:szCs w:val="18"/>
              </w:rPr>
              <w:t xml:space="preserve">backend/runtime.txt</w:t>
            </w:r>
            <w:r>
              <w:rPr>
                <w:sz w:val="20"/>
                <w:szCs w:val="20"/>
              </w:rPr>
              <w:t xml:space="preserve">)</w:t>
            </w:r>
          </w:p>
        </w:tc>
      </w:tr>
      <w:tr>
        <w:tc>
          <w:tcPr>
            <w:tcW w:type="dxa" w:w="2600"/>
            <w:tcMar>
              <w:top w:type="dxa" w:w="90"/>
              <w:left w:type="dxa" w:w="130"/>
              <w:bottom w:type="dxa" w:w="90"/>
              <w:right w:type="dxa" w:w="130"/>
            </w:tcMar>
          </w:tcPr>
          <w:p>
            <w:r>
              <w:rPr>
                <w:sz w:val="20"/>
                <w:szCs w:val="20"/>
              </w:rPr>
              <w:t xml:space="preserve">Object storage</w:t>
            </w:r>
          </w:p>
        </w:tc>
        <w:tc>
          <w:tcPr>
            <w:tcW w:type="dxa" w:w="6760"/>
            <w:tcMar>
              <w:top w:type="dxa" w:w="90"/>
              <w:left w:type="dxa" w:w="130"/>
              <w:bottom w:type="dxa" w:w="90"/>
              <w:right w:type="dxa" w:w="130"/>
            </w:tcMar>
          </w:tcPr>
          <w:p>
            <w:r>
              <w:rPr>
                <w:sz w:val="20"/>
                <w:szCs w:val="20"/>
              </w:rPr>
              <w:t xml:space="preserve">S3-compatible bucket — </w:t>
            </w:r>
            <w:r>
              <w:rPr>
                <w:b/>
                <w:bCs/>
                <w:sz w:val="20"/>
                <w:szCs w:val="20"/>
              </w:rPr>
              <w:t xml:space="preserve">not optional</w:t>
            </w:r>
            <w:r>
              <w:rPr>
                <w:sz w:val="20"/>
                <w:szCs w:val="20"/>
              </w:rPr>
              <w:t xml:space="preserve">, see Part 2</w:t>
            </w:r>
          </w:p>
        </w:tc>
      </w:tr>
    </w:tbl>
    <w:p>
      <w:pPr>
        <w:pStyle w:val="Heading3"/>
        <w:spacing w:after="100" w:before="200"/>
      </w:pPr>
      <w:r>
        <w:rPr>
          <w:b/>
          <w:bCs/>
          <w:color w:val="2E75B6"/>
          <w:sz w:val="22"/>
          <w:szCs w:val="22"/>
        </w:rPr>
        <w:t xml:space="preserve">Environment variables</w:t>
      </w:r>
    </w:p>
    <w:p>
      <w:pPr>
        <w:spacing w:after="120" w:line="280"/>
      </w:pPr>
      <w:r>
        <w:rPr>
          <w:sz w:val="21"/>
          <w:szCs w:val="21"/>
        </w:rPr>
        <w:t xml:space="preserve">All required unless noted.</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400"/>
        <w:gridCol w:w="5960"/>
      </w:tblGrid>
      <w:tr>
        <w:trPr>
          <w:tblHeader/>
        </w:trPr>
        <w:tc>
          <w:tcPr>
            <w:tcW w:type="dxa" w:w="3400"/>
            <w:shd w:fill="DCE6F1" w:val="clear"/>
            <w:tcMar>
              <w:top w:type="dxa" w:w="90"/>
              <w:left w:type="dxa" w:w="130"/>
              <w:bottom w:type="dxa" w:w="90"/>
              <w:right w:type="dxa" w:w="130"/>
            </w:tcMar>
          </w:tcPr>
          <w:p>
            <w:r>
              <w:rPr>
                <w:b/>
                <w:bCs/>
                <w:color w:val="1F3864"/>
                <w:sz w:val="20"/>
                <w:szCs w:val="20"/>
              </w:rPr>
              <w:t xml:space="preserve">Variable</w:t>
            </w:r>
          </w:p>
        </w:tc>
        <w:tc>
          <w:tcPr>
            <w:tcW w:type="dxa" w:w="5960"/>
            <w:shd w:fill="DCE6F1" w:val="clear"/>
            <w:tcMar>
              <w:top w:type="dxa" w:w="90"/>
              <w:left w:type="dxa" w:w="130"/>
              <w:bottom w:type="dxa" w:w="90"/>
              <w:right w:type="dxa" w:w="130"/>
            </w:tcMar>
          </w:tcPr>
          <w:p>
            <w:r>
              <w:rPr>
                <w:b/>
                <w:bCs/>
                <w:color w:val="1F3864"/>
                <w:sz w:val="20"/>
                <w:szCs w:val="20"/>
              </w:rPr>
              <w:t xml:space="preserve">Purpose</w:t>
            </w:r>
          </w:p>
        </w:tc>
      </w:tr>
      <w:tr>
        <w:tc>
          <w:tcPr>
            <w:tcW w:type="dxa" w:w="3400"/>
            <w:tcMar>
              <w:top w:type="dxa" w:w="90"/>
              <w:left w:type="dxa" w:w="130"/>
              <w:bottom w:type="dxa" w:w="90"/>
              <w:right w:type="dxa" w:w="130"/>
            </w:tcMar>
          </w:tcPr>
          <w:p>
            <w:r>
              <w:rPr>
                <w:rFonts w:ascii="Consolas" w:cs="Consolas" w:eastAsia="Consolas" w:hAnsi="Consolas"/>
                <w:sz w:val="18"/>
                <w:szCs w:val="18"/>
              </w:rPr>
              <w:t xml:space="preserve">DATABASE_URL</w:t>
            </w:r>
          </w:p>
        </w:tc>
        <w:tc>
          <w:tcPr>
            <w:tcW w:type="dxa" w:w="5960"/>
            <w:tcMar>
              <w:top w:type="dxa" w:w="90"/>
              <w:left w:type="dxa" w:w="130"/>
              <w:bottom w:type="dxa" w:w="90"/>
              <w:right w:type="dxa" w:w="130"/>
            </w:tcMar>
          </w:tcPr>
          <w:p>
            <w:r>
              <w:rPr>
                <w:sz w:val="20"/>
                <w:szCs w:val="20"/>
              </w:rPr>
              <w:t xml:space="preserve">PostgreSQL connection string</w:t>
            </w:r>
          </w:p>
        </w:tc>
      </w:tr>
      <w:tr>
        <w:tc>
          <w:tcPr>
            <w:tcW w:type="dxa" w:w="3400"/>
            <w:tcMar>
              <w:top w:type="dxa" w:w="90"/>
              <w:left w:type="dxa" w:w="130"/>
              <w:bottom w:type="dxa" w:w="90"/>
              <w:right w:type="dxa" w:w="130"/>
            </w:tcMar>
          </w:tcPr>
          <w:p>
            <w:r>
              <w:rPr>
                <w:rFonts w:ascii="Consolas" w:cs="Consolas" w:eastAsia="Consolas" w:hAnsi="Consolas"/>
                <w:sz w:val="18"/>
                <w:szCs w:val="18"/>
              </w:rPr>
              <w:t xml:space="preserve">STORAGE_ENDPOINT_URL</w:t>
            </w:r>
          </w:p>
        </w:tc>
        <w:tc>
          <w:tcPr>
            <w:tcW w:type="dxa" w:w="5960"/>
            <w:tcMar>
              <w:top w:type="dxa" w:w="90"/>
              <w:left w:type="dxa" w:w="130"/>
              <w:bottom w:type="dxa" w:w="90"/>
              <w:right w:type="dxa" w:w="130"/>
            </w:tcMar>
          </w:tcPr>
          <w:p>
            <w:r>
              <w:rPr>
                <w:sz w:val="20"/>
                <w:szCs w:val="20"/>
              </w:rPr>
              <w:t xml:space="preserve">S3-compatible endpoint</w:t>
            </w:r>
          </w:p>
        </w:tc>
      </w:tr>
      <w:tr>
        <w:tc>
          <w:tcPr>
            <w:tcW w:type="dxa" w:w="3400"/>
            <w:tcMar>
              <w:top w:type="dxa" w:w="90"/>
              <w:left w:type="dxa" w:w="130"/>
              <w:bottom w:type="dxa" w:w="90"/>
              <w:right w:type="dxa" w:w="130"/>
            </w:tcMar>
          </w:tcPr>
          <w:p>
            <w:r>
              <w:rPr>
                <w:rFonts w:ascii="Consolas" w:cs="Consolas" w:eastAsia="Consolas" w:hAnsi="Consolas"/>
                <w:sz w:val="18"/>
                <w:szCs w:val="18"/>
              </w:rPr>
              <w:t xml:space="preserve">STORAGE_ACCESS_KEY</w:t>
            </w:r>
          </w:p>
        </w:tc>
        <w:tc>
          <w:tcPr>
            <w:tcW w:type="dxa" w:w="5960"/>
            <w:tcMar>
              <w:top w:type="dxa" w:w="90"/>
              <w:left w:type="dxa" w:w="130"/>
              <w:bottom w:type="dxa" w:w="90"/>
              <w:right w:type="dxa" w:w="130"/>
            </w:tcMar>
          </w:tcPr>
          <w:p>
            <w:r>
              <w:rPr>
                <w:sz w:val="20"/>
                <w:szCs w:val="20"/>
              </w:rPr>
              <w:t xml:space="preserve">Storage access key</w:t>
            </w:r>
          </w:p>
        </w:tc>
      </w:tr>
      <w:tr>
        <w:tc>
          <w:tcPr>
            <w:tcW w:type="dxa" w:w="3400"/>
            <w:tcMar>
              <w:top w:type="dxa" w:w="90"/>
              <w:left w:type="dxa" w:w="130"/>
              <w:bottom w:type="dxa" w:w="90"/>
              <w:right w:type="dxa" w:w="130"/>
            </w:tcMar>
          </w:tcPr>
          <w:p>
            <w:r>
              <w:rPr>
                <w:rFonts w:ascii="Consolas" w:cs="Consolas" w:eastAsia="Consolas" w:hAnsi="Consolas"/>
                <w:sz w:val="18"/>
                <w:szCs w:val="18"/>
              </w:rPr>
              <w:t xml:space="preserve">STORAGE_SECRET_KEY</w:t>
            </w:r>
          </w:p>
        </w:tc>
        <w:tc>
          <w:tcPr>
            <w:tcW w:type="dxa" w:w="5960"/>
            <w:tcMar>
              <w:top w:type="dxa" w:w="90"/>
              <w:left w:type="dxa" w:w="130"/>
              <w:bottom w:type="dxa" w:w="90"/>
              <w:right w:type="dxa" w:w="130"/>
            </w:tcMar>
          </w:tcPr>
          <w:p>
            <w:r>
              <w:rPr>
                <w:sz w:val="20"/>
                <w:szCs w:val="20"/>
              </w:rPr>
              <w:t xml:space="preserve">Storage secret key</w:t>
            </w:r>
          </w:p>
        </w:tc>
      </w:tr>
      <w:tr>
        <w:tc>
          <w:tcPr>
            <w:tcW w:type="dxa" w:w="3400"/>
            <w:tcMar>
              <w:top w:type="dxa" w:w="90"/>
              <w:left w:type="dxa" w:w="130"/>
              <w:bottom w:type="dxa" w:w="90"/>
              <w:right w:type="dxa" w:w="130"/>
            </w:tcMar>
          </w:tcPr>
          <w:p>
            <w:r>
              <w:rPr>
                <w:rFonts w:ascii="Consolas" w:cs="Consolas" w:eastAsia="Consolas" w:hAnsi="Consolas"/>
                <w:sz w:val="18"/>
                <w:szCs w:val="18"/>
              </w:rPr>
              <w:t xml:space="preserve">STORAGE_BUCKET_NAME</w:t>
            </w:r>
          </w:p>
        </w:tc>
        <w:tc>
          <w:tcPr>
            <w:tcW w:type="dxa" w:w="5960"/>
            <w:tcMar>
              <w:top w:type="dxa" w:w="90"/>
              <w:left w:type="dxa" w:w="130"/>
              <w:bottom w:type="dxa" w:w="90"/>
              <w:right w:type="dxa" w:w="130"/>
            </w:tcMar>
          </w:tcPr>
          <w:p>
            <w:r>
              <w:rPr>
                <w:sz w:val="20"/>
                <w:szCs w:val="20"/>
              </w:rPr>
              <w:t xml:space="preserve">Bucket holding chart files</w:t>
            </w:r>
          </w:p>
        </w:tc>
      </w:tr>
      <w:tr>
        <w:tc>
          <w:tcPr>
            <w:tcW w:type="dxa" w:w="3400"/>
            <w:tcMar>
              <w:top w:type="dxa" w:w="90"/>
              <w:left w:type="dxa" w:w="130"/>
              <w:bottom w:type="dxa" w:w="90"/>
              <w:right w:type="dxa" w:w="130"/>
            </w:tcMar>
          </w:tcPr>
          <w:p>
            <w:r>
              <w:rPr>
                <w:rFonts w:ascii="Consolas" w:cs="Consolas" w:eastAsia="Consolas" w:hAnsi="Consolas"/>
                <w:sz w:val="18"/>
                <w:szCs w:val="18"/>
              </w:rPr>
              <w:t xml:space="preserve">STORAGE_PUBLIC_URL</w:t>
            </w:r>
          </w:p>
        </w:tc>
        <w:tc>
          <w:tcPr>
            <w:tcW w:type="dxa" w:w="5960"/>
            <w:tcMar>
              <w:top w:type="dxa" w:w="90"/>
              <w:left w:type="dxa" w:w="130"/>
              <w:bottom w:type="dxa" w:w="90"/>
              <w:right w:type="dxa" w:w="130"/>
            </w:tcMar>
          </w:tcPr>
          <w:p>
            <w:r>
              <w:rPr>
                <w:sz w:val="20"/>
                <w:szCs w:val="20"/>
              </w:rPr>
              <w:t xml:space="preserve">Public base URL for file access</w:t>
            </w:r>
          </w:p>
        </w:tc>
      </w:tr>
      <w:tr>
        <w:tc>
          <w:tcPr>
            <w:tcW w:type="dxa" w:w="3400"/>
            <w:tcMar>
              <w:top w:type="dxa" w:w="90"/>
              <w:left w:type="dxa" w:w="130"/>
              <w:bottom w:type="dxa" w:w="90"/>
              <w:right w:type="dxa" w:w="130"/>
            </w:tcMar>
          </w:tcPr>
          <w:p>
            <w:r>
              <w:rPr>
                <w:rFonts w:ascii="Consolas" w:cs="Consolas" w:eastAsia="Consolas" w:hAnsi="Consolas"/>
                <w:sz w:val="18"/>
                <w:szCs w:val="18"/>
              </w:rPr>
              <w:t xml:space="preserve">MASTER_ADMIN_PASSPHRASE</w:t>
            </w:r>
          </w:p>
        </w:tc>
        <w:tc>
          <w:tcPr>
            <w:tcW w:type="dxa" w:w="5960"/>
            <w:tcMar>
              <w:top w:type="dxa" w:w="90"/>
              <w:left w:type="dxa" w:w="130"/>
              <w:bottom w:type="dxa" w:w="90"/>
              <w:right w:type="dxa" w:w="130"/>
            </w:tcMar>
          </w:tcPr>
          <w:p>
            <w:r>
              <w:rPr>
                <w:sz w:val="20"/>
                <w:szCs w:val="20"/>
              </w:rPr>
              <w:t xml:space="preserve">Gates protected trainer actions. No default — the app will not start without it</w:t>
            </w:r>
          </w:p>
        </w:tc>
      </w:tr>
      <w:tr>
        <w:tc>
          <w:tcPr>
            <w:tcW w:type="dxa" w:w="3400"/>
            <w:tcMar>
              <w:top w:type="dxa" w:w="90"/>
              <w:left w:type="dxa" w:w="130"/>
              <w:bottom w:type="dxa" w:w="90"/>
              <w:right w:type="dxa" w:w="130"/>
            </w:tcMar>
          </w:tcPr>
          <w:p>
            <w:r>
              <w:rPr>
                <w:rFonts w:ascii="Consolas" w:cs="Consolas" w:eastAsia="Consolas" w:hAnsi="Consolas"/>
                <w:sz w:val="18"/>
                <w:szCs w:val="18"/>
              </w:rPr>
              <w:t xml:space="preserve">CORS_ORIGINS</w:t>
            </w:r>
          </w:p>
        </w:tc>
        <w:tc>
          <w:tcPr>
            <w:tcW w:type="dxa" w:w="5960"/>
            <w:tcMar>
              <w:top w:type="dxa" w:w="90"/>
              <w:left w:type="dxa" w:w="130"/>
              <w:bottom w:type="dxa" w:w="90"/>
              <w:right w:type="dxa" w:w="130"/>
            </w:tcMar>
          </w:tcPr>
          <w:p>
            <w:r>
              <w:rPr>
                <w:sz w:val="20"/>
                <w:szCs w:val="20"/>
              </w:rPr>
              <w:t xml:space="preserve">Comma-separated allowed frontend origins (default: localhost dev)</w:t>
            </w:r>
          </w:p>
        </w:tc>
      </w:tr>
      <w:tr>
        <w:tc>
          <w:tcPr>
            <w:tcW w:type="dxa" w:w="3400"/>
            <w:tcMar>
              <w:top w:type="dxa" w:w="90"/>
              <w:left w:type="dxa" w:w="130"/>
              <w:bottom w:type="dxa" w:w="90"/>
              <w:right w:type="dxa" w:w="130"/>
            </w:tcMar>
          </w:tcPr>
          <w:p>
            <w:r>
              <w:rPr>
                <w:rFonts w:ascii="Consolas" w:cs="Consolas" w:eastAsia="Consolas" w:hAnsi="Consolas"/>
                <w:sz w:val="18"/>
                <w:szCs w:val="18"/>
              </w:rPr>
              <w:t xml:space="preserve">FRONTEND_URL</w:t>
            </w:r>
          </w:p>
        </w:tc>
        <w:tc>
          <w:tcPr>
            <w:tcW w:type="dxa" w:w="5960"/>
            <w:tcMar>
              <w:top w:type="dxa" w:w="90"/>
              <w:left w:type="dxa" w:w="130"/>
              <w:bottom w:type="dxa" w:w="90"/>
              <w:right w:type="dxa" w:w="130"/>
            </w:tcMar>
          </w:tcPr>
          <w:p>
            <w:r>
              <w:rPr>
                <w:sz w:val="20"/>
                <w:szCs w:val="20"/>
              </w:rPr>
              <w:t xml:space="preserve">Optional, defaults to localhost dev</w:t>
            </w:r>
          </w:p>
        </w:tc>
      </w:tr>
    </w:tbl>
    <w:p>
      <w:pPr>
        <w:spacing w:after="120" w:line="280"/>
      </w:pPr>
      <w:r>
        <w:rPr>
          <w:rFonts w:ascii="Consolas" w:cs="Consolas" w:eastAsia="Consolas" w:hAnsi="Consolas"/>
          <w:color w:val="9C27B0"/>
          <w:sz w:val="19"/>
          <w:szCs w:val="19"/>
        </w:rPr>
        <w:t xml:space="preserve">DATABASE_URL</w:t>
      </w:r>
      <w:r>
        <w:rPr>
          <w:sz w:val="21"/>
          <w:szCs w:val="21"/>
        </w:rPr>
        <w:t xml:space="preserve"> accepts </w:t>
      </w:r>
      <w:r>
        <w:rPr>
          <w:rFonts w:ascii="Consolas" w:cs="Consolas" w:eastAsia="Consolas" w:hAnsi="Consolas"/>
          <w:color w:val="9C27B0"/>
          <w:sz w:val="19"/>
          <w:szCs w:val="19"/>
        </w:rPr>
        <w:t xml:space="preserve">postgres://</w:t>
      </w:r>
      <w:r>
        <w:rPr>
          <w:sz w:val="21"/>
          <w:szCs w:val="21"/>
        </w:rPr>
        <w:t xml:space="preserve">, </w:t>
      </w:r>
      <w:r>
        <w:rPr>
          <w:rFonts w:ascii="Consolas" w:cs="Consolas" w:eastAsia="Consolas" w:hAnsi="Consolas"/>
          <w:color w:val="9C27B0"/>
          <w:sz w:val="19"/>
          <w:szCs w:val="19"/>
        </w:rPr>
        <w:t xml:space="preserve">postgresql://</w:t>
      </w:r>
      <w:r>
        <w:rPr>
          <w:sz w:val="21"/>
          <w:szCs w:val="21"/>
        </w:rPr>
        <w:t xml:space="preserve"> or </w:t>
      </w:r>
      <w:r>
        <w:rPr>
          <w:rFonts w:ascii="Consolas" w:cs="Consolas" w:eastAsia="Consolas" w:hAnsi="Consolas"/>
          <w:color w:val="9C27B0"/>
          <w:sz w:val="19"/>
          <w:szCs w:val="19"/>
        </w:rPr>
        <w:t xml:space="preserve">postgresql+asyncpg://</w:t>
      </w:r>
      <w:r>
        <w:rPr>
          <w:sz w:val="21"/>
          <w:szCs w:val="21"/>
        </w:rPr>
        <w:t xml:space="preserve"> — the app normalises the scheme itself.</w:t>
      </w:r>
    </w:p>
    <w:p>
      <w:pPr>
        <w:pStyle w:val="Heading2"/>
        <w:spacing w:after="120" w:before="280"/>
      </w:pPr>
      <w:r>
        <w:rPr>
          <w:b/>
          <w:bCs/>
          <w:color w:val="1F3864"/>
          <w:sz w:val="24"/>
          <w:szCs w:val="24"/>
        </w:rPr>
        <w:t xml:space="preserve">3.3 Recommended migration path</w:t>
      </w:r>
    </w:p>
    <w:p>
      <w:pPr>
        <w:spacing w:after="120" w:line="280"/>
      </w:pPr>
      <w:r>
        <w:rPr>
          <w:b/>
          <w:bCs/>
          <w:sz w:val="21"/>
          <w:szCs w:val="21"/>
        </w:rPr>
        <w:t xml:space="preserve">Restore a full dump into an empty database, then start the app.</w:t>
      </w:r>
      <w:r>
        <w:rPr>
          <w:sz w:val="21"/>
          <w:szCs w:val="21"/>
        </w:rPr>
        <w:t xml:space="preserve"> Not the other way round. The reason is in 3.5.3.</w:t>
      </w:r>
    </w:p>
    <w:p>
      <w:pPr>
        <w:pStyle w:val="ListParagraph"/>
        <w:numPr>
          <w:ilvl w:val="0"/>
          <w:numId w:val="3"/>
        </w:numPr>
        <w:spacing w:after="80" w:line="280"/>
      </w:pPr>
      <w:r>
        <w:rPr>
          <w:sz w:val="21"/>
          <w:szCs w:val="21"/>
        </w:rPr>
        <w:t xml:space="preserve">Provision an empty PostgreSQL database</w:t>
      </w:r>
    </w:p>
    <w:p>
      <w:pPr>
        <w:pStyle w:val="ListParagraph"/>
        <w:numPr>
          <w:ilvl w:val="0"/>
          <w:numId w:val="3"/>
        </w:numPr>
        <w:spacing w:after="80" w:line="280"/>
      </w:pPr>
      <w:r>
        <w:rPr>
          <w:sz w:val="21"/>
          <w:szCs w:val="21"/>
        </w:rPr>
        <w:t xml:space="preserve">pg_dump from source (3.4)</w:t>
      </w:r>
    </w:p>
    <w:p>
      <w:pPr>
        <w:pStyle w:val="ListParagraph"/>
        <w:numPr>
          <w:ilvl w:val="0"/>
          <w:numId w:val="3"/>
        </w:numPr>
        <w:spacing w:after="80" w:line="280"/>
      </w:pPr>
      <w:r>
        <w:rPr>
          <w:sz w:val="21"/>
          <w:szCs w:val="21"/>
        </w:rPr>
        <w:t xml:space="preserve">pg_restore into the new database (3.4)</w:t>
      </w:r>
    </w:p>
    <w:p>
      <w:pPr>
        <w:pStyle w:val="ListParagraph"/>
        <w:numPr>
          <w:ilvl w:val="0"/>
          <w:numId w:val="3"/>
        </w:numPr>
        <w:spacing w:after="80" w:line="280"/>
      </w:pPr>
      <w:r>
        <w:rPr>
          <w:sz w:val="21"/>
          <w:szCs w:val="21"/>
        </w:rPr>
        <w:t xml:space="preserve">Verify row counts (3.6)</w:t>
      </w:r>
    </w:p>
    <w:p>
      <w:pPr>
        <w:pStyle w:val="ListParagraph"/>
        <w:numPr>
          <w:ilvl w:val="0"/>
          <w:numId w:val="3"/>
        </w:numPr>
        <w:spacing w:after="80" w:line="280"/>
      </w:pPr>
      <w:r>
        <w:rPr>
          <w:sz w:val="21"/>
          <w:szCs w:val="21"/>
        </w:rPr>
        <w:t xml:space="preserve">Set environment variables, start the API</w:t>
      </w:r>
    </w:p>
    <w:p>
      <w:pPr>
        <w:pStyle w:val="ListParagraph"/>
        <w:numPr>
          <w:ilvl w:val="0"/>
          <w:numId w:val="3"/>
        </w:numPr>
        <w:spacing w:after="80" w:line="280"/>
      </w:pPr>
      <w:r>
        <w:rPr>
          <w:sz w:val="21"/>
          <w:szCs w:val="21"/>
        </w:rPr>
        <w:t xml:space="preserve">Check startup logs for migration warnings (3.5.1)</w:t>
      </w:r>
    </w:p>
    <w:p>
      <w:pPr>
        <w:pStyle w:val="ListParagraph"/>
        <w:numPr>
          <w:ilvl w:val="0"/>
          <w:numId w:val="3"/>
        </w:numPr>
        <w:spacing w:after="80" w:line="280"/>
      </w:pPr>
      <w:r>
        <w:rPr>
          <w:sz w:val="21"/>
          <w:szCs w:val="21"/>
        </w:rPr>
        <w:t xml:space="preserve">Verify via /health and a real screen (3.6)</w:t>
      </w:r>
    </w:p>
    <w:p>
      <w:pPr>
        <w:pStyle w:val="Heading2"/>
        <w:spacing w:after="120" w:before="280"/>
      </w:pPr>
      <w:r>
        <w:rPr>
          <w:b/>
          <w:bCs/>
          <w:color w:val="1F3864"/>
          <w:sz w:val="24"/>
          <w:szCs w:val="24"/>
        </w:rPr>
        <w:t xml:space="preserve">3.4 Dump and restore</w:t>
      </w:r>
    </w:p>
    <w:p>
      <w:pPr>
        <w:pStyle w:val="Heading3"/>
        <w:spacing w:after="100" w:before="200"/>
      </w:pPr>
      <w:r>
        <w:rPr>
          <w:b/>
          <w:bCs/>
          <w:color w:val="2E75B6"/>
          <w:sz w:val="22"/>
          <w:szCs w:val="22"/>
        </w:rPr>
        <w:t xml:space="preserve">3.4.1 Confirm the source version first</w:t>
      </w:r>
    </w:p>
    <w:p>
      <w:pPr>
        <w:pBdr>
          <w:left w:val="single" w:color="2E75B6" w:sz="12" w:space="6"/>
        </w:pBdr>
        <w:shd w:fill="F2F2F2" w:val="clear"/>
        <w:spacing w:after="140" w:before="100" w:line="260"/>
        <w:ind w:left="120"/>
      </w:pPr>
      <w:r>
        <w:rPr>
          <w:rFonts w:ascii="Consolas" w:cs="Consolas" w:eastAsia="Consolas" w:hAnsi="Consolas"/>
          <w:sz w:val="18"/>
          <w:szCs w:val="18"/>
        </w:rPr>
        <w:t xml:space="preserve">SELECT version();</w:t>
      </w:r>
    </w:p>
    <w:p>
      <w:pPr>
        <w:spacing w:after="120" w:line="280"/>
      </w:pPr>
      <w:r>
        <w:rPr>
          <w:sz w:val="21"/>
          <w:szCs w:val="21"/>
        </w:rPr>
        <w:t xml:space="preserve">Restoring into an older major version than the source will fail. Match the major version, or go newer.</w:t>
      </w:r>
    </w:p>
    <w:p>
      <w:pPr>
        <w:pStyle w:val="Heading3"/>
        <w:spacing w:after="100" w:before="200"/>
      </w:pPr>
      <w:r>
        <w:rPr>
          <w:b/>
          <w:bCs/>
          <w:color w:val="2E75B6"/>
          <w:sz w:val="22"/>
          <w:szCs w:val="22"/>
        </w:rPr>
        <w:t xml:space="preserve">3.4.2 Dump</w:t>
      </w:r>
    </w:p>
    <w:p>
      <w:pPr>
        <w:spacing w:after="120" w:line="280"/>
      </w:pPr>
      <w:r>
        <w:rPr>
          <w:sz w:val="21"/>
          <w:szCs w:val="21"/>
        </w:rPr>
        <w:t xml:space="preserve">Custom format, which restores faster and lets you restore selectively:</w:t>
      </w:r>
    </w:p>
    <w:p>
      <w:pPr>
        <w:pBdr>
          <w:left w:val="single" w:color="2E75B6" w:sz="12" w:space="6"/>
        </w:pBdr>
        <w:shd w:fill="F2F2F2" w:val="clear"/>
        <w:spacing w:after="140" w:before="100" w:line="260"/>
        <w:ind w:left="120"/>
      </w:pPr>
      <w:r>
        <w:rPr>
          <w:rFonts w:ascii="Consolas" w:cs="Consolas" w:eastAsia="Consolas" w:hAnsi="Consolas"/>
          <w:sz w:val="18"/>
          <w:szCs w:val="18"/>
        </w:rPr>
        <w:t xml:space="preserve">pg_dump \</w:t>
      </w:r>
      <w:r>
        <w:br/>
      </w:r>
      <w:r>
        <w:rPr>
          <w:rFonts w:ascii="Consolas" w:cs="Consolas" w:eastAsia="Consolas" w:hAnsi="Consolas"/>
          <w:sz w:val="18"/>
          <w:szCs w:val="18"/>
        </w:rPr>
        <w:t xml:space="preserve">  --format=custom \</w:t>
      </w:r>
      <w:r>
        <w:br/>
      </w:r>
      <w:r>
        <w:rPr>
          <w:rFonts w:ascii="Consolas" w:cs="Consolas" w:eastAsia="Consolas" w:hAnsi="Consolas"/>
          <w:sz w:val="18"/>
          <w:szCs w:val="18"/>
        </w:rPr>
        <w:t xml:space="preserve">  --no-owner \</w:t>
      </w:r>
      <w:r>
        <w:br/>
      </w:r>
      <w:r>
        <w:rPr>
          <w:rFonts w:ascii="Consolas" w:cs="Consolas" w:eastAsia="Consolas" w:hAnsi="Consolas"/>
          <w:sz w:val="18"/>
          <w:szCs w:val="18"/>
        </w:rPr>
        <w:t xml:space="preserve">  --no-privileges \</w:t>
      </w:r>
      <w:r>
        <w:br/>
      </w:r>
      <w:r>
        <w:rPr>
          <w:rFonts w:ascii="Consolas" w:cs="Consolas" w:eastAsia="Consolas" w:hAnsi="Consolas"/>
          <w:sz w:val="18"/>
          <w:szCs w:val="18"/>
        </w:rPr>
        <w:t xml:space="preserve">  --file=practicelab_$(date +%Y%m%d).dump \</w:t>
      </w:r>
      <w:r>
        <w:br/>
      </w:r>
      <w:r>
        <w:rPr>
          <w:rFonts w:ascii="Consolas" w:cs="Consolas" w:eastAsia="Consolas" w:hAnsi="Consolas"/>
          <w:sz w:val="18"/>
          <w:szCs w:val="18"/>
        </w:rPr>
        <w:t xml:space="preserve">  "postgresql://USER:PASSWORD@HOST:PORT/DBNAME"</w:t>
      </w:r>
    </w:p>
    <w:p>
      <w:pPr>
        <w:pStyle w:val="ListParagraph"/>
        <w:numPr>
          <w:ilvl w:val="0"/>
          <w:numId w:val="2"/>
        </w:numPr>
        <w:spacing w:after="80" w:line="280"/>
      </w:pPr>
      <w:r>
        <w:rPr>
          <w:rFonts w:ascii="Consolas" w:cs="Consolas" w:eastAsia="Consolas" w:hAnsi="Consolas"/>
          <w:color w:val="9C27B0"/>
          <w:sz w:val="19"/>
          <w:szCs w:val="19"/>
        </w:rPr>
        <w:t xml:space="preserve">--no-owner</w:t>
      </w:r>
      <w:r>
        <w:rPr>
          <w:sz w:val="21"/>
          <w:szCs w:val="21"/>
        </w:rPr>
        <w:t xml:space="preserve"> / </w:t>
      </w:r>
      <w:r>
        <w:rPr>
          <w:rFonts w:ascii="Consolas" w:cs="Consolas" w:eastAsia="Consolas" w:hAnsi="Consolas"/>
          <w:color w:val="9C27B0"/>
          <w:sz w:val="19"/>
          <w:szCs w:val="19"/>
        </w:rPr>
        <w:t xml:space="preserve">--no-privileges</w:t>
      </w:r>
      <w:r>
        <w:rPr>
          <w:sz w:val="21"/>
          <w:szCs w:val="21"/>
        </w:rPr>
        <w:t xml:space="preserve"> — the internal database will have different role names. Without these the restore emits errors for every object.</w:t>
      </w:r>
    </w:p>
    <w:p>
      <w:pPr>
        <w:pStyle w:val="ListParagraph"/>
        <w:numPr>
          <w:ilvl w:val="0"/>
          <w:numId w:val="2"/>
        </w:numPr>
        <w:spacing w:after="80" w:line="280"/>
      </w:pPr>
      <w:r>
        <w:rPr>
          <w:sz w:val="21"/>
          <w:szCs w:val="21"/>
        </w:rPr>
        <w:t xml:space="preserve">Add </w:t>
      </w:r>
      <w:r>
        <w:rPr>
          <w:rFonts w:ascii="Consolas" w:cs="Consolas" w:eastAsia="Consolas" w:hAnsi="Consolas"/>
          <w:color w:val="9C27B0"/>
          <w:sz w:val="19"/>
          <w:szCs w:val="19"/>
        </w:rPr>
        <w:t xml:space="preserve">--verbose</w:t>
      </w:r>
      <w:r>
        <w:rPr>
          <w:sz w:val="21"/>
          <w:szCs w:val="21"/>
        </w:rPr>
        <w:t xml:space="preserve"> if you want per-object progress.</w:t>
      </w:r>
    </w:p>
    <w:p>
      <w:pPr>
        <w:spacing w:after="120" w:line="280"/>
      </w:pPr>
      <w:r>
        <w:rPr>
          <w:sz w:val="21"/>
          <w:szCs w:val="21"/>
        </w:rPr>
        <w:t xml:space="preserve">A plain-SQL dump (</w:t>
      </w:r>
      <w:r>
        <w:rPr>
          <w:rFonts w:ascii="Consolas" w:cs="Consolas" w:eastAsia="Consolas" w:hAnsi="Consolas"/>
          <w:color w:val="9C27B0"/>
          <w:sz w:val="19"/>
          <w:szCs w:val="19"/>
        </w:rPr>
        <w:t xml:space="preserve">--format=plain --file=practicelab.sql</w:t>
      </w:r>
      <w:r>
        <w:rPr>
          <w:sz w:val="21"/>
          <w:szCs w:val="21"/>
        </w:rPr>
        <w:t xml:space="preserve">) is also fine and easier to review, but restores more slowly.</w:t>
      </w:r>
    </w:p>
    <w:p>
      <w:pPr>
        <w:pStyle w:val="Heading3"/>
        <w:spacing w:after="100" w:before="200"/>
      </w:pPr>
      <w:r>
        <w:rPr>
          <w:b/>
          <w:bCs/>
          <w:color w:val="2E75B6"/>
          <w:sz w:val="22"/>
          <w:szCs w:val="22"/>
        </w:rPr>
        <w:t xml:space="preserve">3.4.3 Restore</w:t>
      </w:r>
    </w:p>
    <w:p>
      <w:pPr>
        <w:spacing w:after="120" w:line="280"/>
      </w:pPr>
      <w:r>
        <w:rPr>
          <w:sz w:val="21"/>
          <w:szCs w:val="21"/>
        </w:rPr>
        <w:t xml:space="preserve">Into a genuinely empty database:</w:t>
      </w:r>
    </w:p>
    <w:p>
      <w:pPr>
        <w:pBdr>
          <w:left w:val="single" w:color="2E75B6" w:sz="12" w:space="6"/>
        </w:pBdr>
        <w:shd w:fill="F2F2F2" w:val="clear"/>
        <w:spacing w:after="140" w:before="100" w:line="260"/>
        <w:ind w:left="120"/>
      </w:pPr>
      <w:r>
        <w:rPr>
          <w:rFonts w:ascii="Consolas" w:cs="Consolas" w:eastAsia="Consolas" w:hAnsi="Consolas"/>
          <w:sz w:val="18"/>
          <w:szCs w:val="18"/>
        </w:rPr>
        <w:t xml:space="preserve">createdb practicelab</w:t>
      </w:r>
      <w:r>
        <w:br/>
      </w:r>
      <w:r>
        <w:rPr>
          <w:rFonts w:ascii="Consolas" w:cs="Consolas" w:eastAsia="Consolas" w:hAnsi="Consolas"/>
          <w:sz w:val="18"/>
          <w:szCs w:val="18"/>
        </w:rPr>
        <w:t xml:space="preserve"/>
      </w:r>
      <w:r>
        <w:br/>
      </w:r>
      <w:r>
        <w:rPr>
          <w:rFonts w:ascii="Consolas" w:cs="Consolas" w:eastAsia="Consolas" w:hAnsi="Consolas"/>
          <w:sz w:val="18"/>
          <w:szCs w:val="18"/>
        </w:rPr>
        <w:t xml:space="preserve">pg_restore \</w:t>
      </w:r>
      <w:r>
        <w:br/>
      </w:r>
      <w:r>
        <w:rPr>
          <w:rFonts w:ascii="Consolas" w:cs="Consolas" w:eastAsia="Consolas" w:hAnsi="Consolas"/>
          <w:sz w:val="18"/>
          <w:szCs w:val="18"/>
        </w:rPr>
        <w:t xml:space="preserve">  --no-owner \</w:t>
      </w:r>
      <w:r>
        <w:br/>
      </w:r>
      <w:r>
        <w:rPr>
          <w:rFonts w:ascii="Consolas" w:cs="Consolas" w:eastAsia="Consolas" w:hAnsi="Consolas"/>
          <w:sz w:val="18"/>
          <w:szCs w:val="18"/>
        </w:rPr>
        <w:t xml:space="preserve">  --no-privileges \</w:t>
      </w:r>
      <w:r>
        <w:br/>
      </w:r>
      <w:r>
        <w:rPr>
          <w:rFonts w:ascii="Consolas" w:cs="Consolas" w:eastAsia="Consolas" w:hAnsi="Consolas"/>
          <w:sz w:val="18"/>
          <w:szCs w:val="18"/>
        </w:rPr>
        <w:t xml:space="preserve">  --dbname="postgresql://USER:PASSWORD@HOST:PORT/practicelab" \</w:t>
      </w:r>
      <w:r>
        <w:br/>
      </w:r>
      <w:r>
        <w:rPr>
          <w:rFonts w:ascii="Consolas" w:cs="Consolas" w:eastAsia="Consolas" w:hAnsi="Consolas"/>
          <w:sz w:val="18"/>
          <w:szCs w:val="18"/>
        </w:rPr>
        <w:t xml:space="preserve">  practicelab_YYYYMMDD.dump</w:t>
      </w:r>
    </w:p>
    <w:p>
      <w:pPr>
        <w:spacing w:after="120" w:line="280"/>
      </w:pPr>
      <w:r>
        <w:rPr>
          <w:sz w:val="21"/>
          <w:szCs w:val="21"/>
        </w:rPr>
        <w:t xml:space="preserve">For a plain-SQL dump: </w:t>
      </w:r>
      <w:r>
        <w:rPr>
          <w:rFonts w:ascii="Consolas" w:cs="Consolas" w:eastAsia="Consolas" w:hAnsi="Consolas"/>
          <w:color w:val="9C27B0"/>
          <w:sz w:val="19"/>
          <w:szCs w:val="19"/>
        </w:rPr>
        <w:t xml:space="preserve">psql -d "postgresql://..." -f practicelab.sql</w:t>
      </w:r>
    </w:p>
    <w:p>
      <w:pPr>
        <w:spacing w:after="120" w:line="280"/>
      </w:pPr>
      <w:r>
        <w:rPr>
          <w:sz w:val="21"/>
          <w:szCs w:val="21"/>
        </w:rPr>
        <w:t xml:space="preserve">Expect zero errors. Investigate any that appear rather than proceeding — a partially restored database will still start the app, because the app's migrations will happily create whatever is missing as empty tables.</w:t>
      </w:r>
    </w:p>
    <w:p>
      <w:pPr>
        <w:pStyle w:val="Heading2"/>
        <w:spacing w:after="120" w:before="280"/>
      </w:pPr>
      <w:r>
        <w:rPr>
          <w:b/>
          <w:bCs/>
          <w:color w:val="1F3864"/>
          <w:sz w:val="24"/>
          <w:szCs w:val="24"/>
        </w:rPr>
        <w:t xml:space="preserve">3.5 What happens on first boot</w:t>
      </w:r>
    </w:p>
    <w:p>
      <w:pPr>
        <w:spacing w:after="120" w:line="280"/>
      </w:pPr>
      <w:r>
        <w:rPr>
          <w:sz w:val="21"/>
          <w:szCs w:val="21"/>
        </w:rPr>
        <w:t xml:space="preserve">Read this before starting the API. </w:t>
      </w:r>
      <w:r>
        <w:rPr>
          <w:rFonts w:ascii="Consolas" w:cs="Consolas" w:eastAsia="Consolas" w:hAnsi="Consolas"/>
          <w:color w:val="9C27B0"/>
          <w:sz w:val="19"/>
          <w:szCs w:val="19"/>
        </w:rPr>
        <w:t xml:space="preserve">init_db()</w:t>
      </w:r>
      <w:r>
        <w:rPr>
          <w:sz w:val="21"/>
          <w:szCs w:val="21"/>
        </w:rPr>
        <w:t xml:space="preserve"> runs on every application start, not just the first.</w:t>
      </w:r>
    </w:p>
    <w:p>
      <w:pPr>
        <w:pStyle w:val="Heading3"/>
        <w:spacing w:after="100" w:before="200"/>
      </w:pPr>
      <w:r>
        <w:rPr>
          <w:b/>
          <w:bCs/>
          <w:color w:val="2E75B6"/>
          <w:sz w:val="22"/>
          <w:szCs w:val="22"/>
        </w:rPr>
        <w:t xml:space="preserve">3.5.1 Migrations are additive and non-fatal</w:t>
      </w:r>
    </w:p>
    <w:p>
      <w:pPr>
        <w:spacing w:after="120" w:line="280"/>
      </w:pPr>
      <w:r>
        <w:rPr>
          <w:sz w:val="21"/>
          <w:szCs w:val="21"/>
        </w:rPr>
        <w:t xml:space="preserve">Every migration step is wrapped so that a failure is logged as a warning and startup continues:</w:t>
      </w:r>
    </w:p>
    <w:p>
      <w:pPr>
        <w:pBdr>
          <w:left w:val="single" w:color="2E75B6" w:sz="12" w:space="6"/>
        </w:pBdr>
        <w:shd w:fill="F2F2F2" w:val="clear"/>
        <w:spacing w:after="140" w:before="100" w:line="260"/>
        <w:ind w:left="120"/>
      </w:pPr>
      <w:r>
        <w:rPr>
          <w:rFonts w:ascii="Consolas" w:cs="Consolas" w:eastAsia="Consolas" w:hAnsi="Consolas"/>
          <w:sz w:val="18"/>
          <w:szCs w:val="18"/>
        </w:rPr>
        <w:t xml:space="preserve">logger.warning("Migration DDL failed (non-fatal): %s | sql=%s", exc, sql[:200])</w:t>
      </w:r>
    </w:p>
    <w:p>
      <w:pPr>
        <w:spacing w:after="120" w:line="280"/>
      </w:pPr>
      <w:r>
        <w:rPr>
          <w:sz w:val="21"/>
          <w:szCs w:val="21"/>
        </w:rPr>
        <w:t xml:space="preserve">This is deliberate — a schema problem should not take the API down — but it means a partial failure is quiet. After the first boot against the new database, search the startup logs for:</w:t>
      </w:r>
    </w:p>
    <w:p>
      <w:pPr>
        <w:pBdr>
          <w:left w:val="single" w:color="2E75B6" w:sz="12" w:space="6"/>
        </w:pBdr>
        <w:shd w:fill="F2F2F2" w:val="clear"/>
        <w:spacing w:after="140" w:before="100" w:line="260"/>
        <w:ind w:left="120"/>
      </w:pPr>
      <w:r>
        <w:rPr>
          <w:rFonts w:ascii="Consolas" w:cs="Consolas" w:eastAsia="Consolas" w:hAnsi="Consolas"/>
          <w:sz w:val="18"/>
          <w:szCs w:val="18"/>
        </w:rPr>
        <w:t xml:space="preserve">Migration DDL failed</w:t>
      </w:r>
    </w:p>
    <w:p>
      <w:pPr>
        <w:spacing w:after="120" w:line="280"/>
      </w:pPr>
      <w:r>
        <w:rPr>
          <w:sz w:val="21"/>
          <w:szCs w:val="21"/>
        </w:rPr>
        <w:t xml:space="preserve">On a correctly restored database this should appear </w:t>
      </w:r>
      <w:r>
        <w:rPr>
          <w:b/>
          <w:bCs/>
          <w:sz w:val="21"/>
          <w:szCs w:val="21"/>
        </w:rPr>
        <w:t xml:space="preserve">zero</w:t>
      </w:r>
      <w:r>
        <w:rPr>
          <w:sz w:val="21"/>
          <w:szCs w:val="21"/>
        </w:rPr>
        <w:t xml:space="preserve"> times. Anything there needs investigating before the app is considered live.</w:t>
      </w:r>
    </w:p>
    <w:p>
      <w:pPr>
        <w:pStyle w:val="Heading3"/>
        <w:spacing w:after="100" w:before="200"/>
      </w:pPr>
      <w:r>
        <w:rPr>
          <w:b/>
          <w:bCs/>
          <w:color w:val="2E75B6"/>
          <w:sz w:val="22"/>
          <w:szCs w:val="22"/>
        </w:rPr>
        <w:t xml:space="preserve">3.5.2 There is no migration version table</w:t>
      </w:r>
    </w:p>
    <w:p>
      <w:pPr>
        <w:spacing w:after="120" w:line="280"/>
      </w:pPr>
      <w:r>
        <w:rPr>
          <w:sz w:val="21"/>
          <w:szCs w:val="21"/>
        </w:rPr>
        <w:t xml:space="preserve">Nothing records which migrations have run. Each one re-checks whether its column or table already exists and skips if so. Consequences:</w:t>
      </w:r>
    </w:p>
    <w:p>
      <w:pPr>
        <w:pStyle w:val="ListParagraph"/>
        <w:numPr>
          <w:ilvl w:val="0"/>
          <w:numId w:val="2"/>
        </w:numPr>
        <w:spacing w:after="80" w:line="280"/>
      </w:pPr>
      <w:r>
        <w:rPr>
          <w:sz w:val="21"/>
          <w:szCs w:val="21"/>
        </w:rPr>
        <w:t xml:space="preserve">Running the app repeatedly is safe and idempotent.</w:t>
      </w:r>
    </w:p>
    <w:p>
      <w:pPr>
        <w:pStyle w:val="ListParagraph"/>
        <w:numPr>
          <w:ilvl w:val="0"/>
          <w:numId w:val="2"/>
        </w:numPr>
        <w:spacing w:after="80" w:line="280"/>
      </w:pPr>
      <w:r>
        <w:rPr>
          <w:sz w:val="21"/>
          <w:szCs w:val="21"/>
        </w:rPr>
        <w:t xml:space="preserve">Your DBA cannot ask "what schema version is this?" The honest answer is "whatever the currently deployed code builds."</w:t>
      </w:r>
    </w:p>
    <w:p>
      <w:pPr>
        <w:pStyle w:val="ListParagraph"/>
        <w:numPr>
          <w:ilvl w:val="0"/>
          <w:numId w:val="2"/>
        </w:numPr>
        <w:spacing w:after="80" w:line="280"/>
      </w:pPr>
      <w:r>
        <w:rPr>
          <w:sz w:val="21"/>
          <w:szCs w:val="21"/>
        </w:rPr>
        <w:t xml:space="preserve">Rolling the application back to an older release does not roll the schema back. The schema only moves forward.</w:t>
      </w:r>
    </w:p>
    <w:p>
      <w:pPr>
        <w:pStyle w:val="Heading3"/>
        <w:spacing w:after="100" w:before="200"/>
      </w:pPr>
      <w:r>
        <w:rPr>
          <w:b/>
          <w:bCs/>
          <w:color w:val="2E75B6"/>
          <w:sz w:val="22"/>
          <w:szCs w:val="22"/>
        </w:rPr>
        <w:t xml:space="preserve">3.5.3 Sample data is seeded into an empty question bank</w:t>
      </w:r>
    </w:p>
    <w:p>
      <w:pPr>
        <w:spacing w:after="120" w:line="280"/>
      </w:pPr>
      <w:r>
        <w:rPr>
          <w:sz w:val="21"/>
          <w:szCs w:val="21"/>
        </w:rPr>
        <w:t xml:space="preserve">If </w:t>
      </w:r>
      <w:r>
        <w:rPr>
          <w:rFonts w:ascii="Consolas" w:cs="Consolas" w:eastAsia="Consolas" w:hAnsi="Consolas"/>
          <w:color w:val="9C27B0"/>
          <w:sz w:val="19"/>
          <w:szCs w:val="19"/>
        </w:rPr>
        <w:t xml:space="preserve">assessment_questions</w:t>
      </w:r>
      <w:r>
        <w:rPr>
          <w:sz w:val="21"/>
          <w:szCs w:val="21"/>
        </w:rPr>
        <w:t xml:space="preserve"> is empty at boot, the app inserts sample assessment questions. This is why the restore must come before the first boot:</w:t>
      </w:r>
    </w:p>
    <w:p>
      <w:pPr>
        <w:pStyle w:val="ListParagraph"/>
        <w:numPr>
          <w:ilvl w:val="0"/>
          <w:numId w:val="2"/>
        </w:numPr>
        <w:spacing w:after="80" w:line="280"/>
      </w:pPr>
      <w:r>
        <w:rPr>
          <w:b/>
          <w:bCs/>
          <w:sz w:val="21"/>
          <w:szCs w:val="21"/>
        </w:rPr>
        <w:t xml:space="preserve">Restore first, then boot</w:t>
      </w:r>
      <w:r>
        <w:rPr>
          <w:sz w:val="21"/>
          <w:szCs w:val="21"/>
        </w:rPr>
        <w:t xml:space="preserve"> → table is populated, seed skips. Correct.</w:t>
      </w:r>
    </w:p>
    <w:p>
      <w:pPr>
        <w:pStyle w:val="ListParagraph"/>
        <w:numPr>
          <w:ilvl w:val="0"/>
          <w:numId w:val="2"/>
        </w:numPr>
        <w:spacing w:after="80" w:line="280"/>
      </w:pPr>
      <w:r>
        <w:rPr>
          <w:b/>
          <w:bCs/>
          <w:sz w:val="21"/>
          <w:szCs w:val="21"/>
        </w:rPr>
        <w:t xml:space="preserve">Boot first, then restore</w:t>
      </w:r>
      <w:r>
        <w:rPr>
          <w:sz w:val="21"/>
          <w:szCs w:val="21"/>
        </w:rPr>
        <w:t xml:space="preserve"> → seeded rows already exist and the restore will hit unique-constraint violations on </w:t>
      </w:r>
      <w:r>
        <w:rPr>
          <w:rFonts w:ascii="Consolas" w:cs="Consolas" w:eastAsia="Consolas" w:hAnsi="Consolas"/>
          <w:color w:val="9C27B0"/>
          <w:sz w:val="19"/>
          <w:szCs w:val="19"/>
        </w:rPr>
        <w:t xml:space="preserve">question_id</w:t>
      </w:r>
      <w:r>
        <w:rPr>
          <w:sz w:val="21"/>
          <w:szCs w:val="21"/>
        </w:rPr>
        <w:t xml:space="preserve">. Avoid.</w:t>
      </w:r>
    </w:p>
    <w:p>
      <w:pPr>
        <w:spacing w:after="120" w:line="280"/>
      </w:pPr>
      <w:r>
        <w:rPr>
          <w:sz w:val="21"/>
          <w:szCs w:val="21"/>
        </w:rPr>
        <w:t xml:space="preserve">If the app has already been booted against the empty database, drop and recreate the database before restoring rather than trying to reconcile.</w:t>
      </w:r>
    </w:p>
    <w:p>
      <w:pPr>
        <w:pStyle w:val="Heading2"/>
        <w:spacing w:after="120" w:before="280"/>
      </w:pPr>
      <w:r>
        <w:rPr>
          <w:b/>
          <w:bCs/>
          <w:color w:val="1F3864"/>
          <w:sz w:val="24"/>
          <w:szCs w:val="24"/>
        </w:rPr>
        <w:t xml:space="preserve">3.6 Verification</w:t>
      </w:r>
    </w:p>
    <w:p>
      <w:pPr>
        <w:pStyle w:val="Heading3"/>
        <w:spacing w:after="100" w:before="200"/>
      </w:pPr>
      <w:r>
        <w:rPr>
          <w:b/>
          <w:bCs/>
          <w:color w:val="2E75B6"/>
          <w:sz w:val="22"/>
          <w:szCs w:val="22"/>
        </w:rPr>
        <w:t xml:space="preserve">3.6.1 Row counts — run against source and target, compare</w:t>
      </w:r>
    </w:p>
    <w:p>
      <w:pPr>
        <w:pBdr>
          <w:left w:val="single" w:color="2E75B6" w:sz="12" w:space="6"/>
        </w:pBdr>
        <w:shd w:fill="F2F2F2" w:val="clear"/>
        <w:spacing w:after="140" w:before="100" w:line="260"/>
        <w:ind w:left="120"/>
      </w:pPr>
      <w:r>
        <w:rPr>
          <w:rFonts w:ascii="Consolas" w:cs="Consolas" w:eastAsia="Consolas" w:hAnsi="Consolas"/>
          <w:sz w:val="18"/>
          <w:szCs w:val="18"/>
        </w:rPr>
        <w:t xml:space="preserve">SELECT 'charts', COUNT(*) FROM charts</w:t>
      </w:r>
      <w:r>
        <w:br/>
      </w:r>
      <w:r>
        <w:rPr>
          <w:rFonts w:ascii="Consolas" w:cs="Consolas" w:eastAsia="Consolas" w:hAnsi="Consolas"/>
          <w:sz w:val="18"/>
          <w:szCs w:val="18"/>
        </w:rPr>
        <w:t xml:space="preserve">UNION ALL SELECT 'chart_files', COUNT(*) FROM chart_files</w:t>
      </w:r>
      <w:r>
        <w:br/>
      </w:r>
      <w:r>
        <w:rPr>
          <w:rFonts w:ascii="Consolas" w:cs="Consolas" w:eastAsia="Consolas" w:hAnsi="Consolas"/>
          <w:sz w:val="18"/>
          <w:szCs w:val="18"/>
        </w:rPr>
        <w:t xml:space="preserve">UNION ALL SELECT 'answer_keys', COUNT(*) FROM answer_keys</w:t>
      </w:r>
      <w:r>
        <w:br/>
      </w:r>
      <w:r>
        <w:rPr>
          <w:rFonts w:ascii="Consolas" w:cs="Consolas" w:eastAsia="Consolas" w:hAnsi="Consolas"/>
          <w:sz w:val="18"/>
          <w:szCs w:val="18"/>
        </w:rPr>
        <w:t xml:space="preserve">UNION ALL SELECT 'em_answer_keys', COUNT(*) FROM em_answer_keys</w:t>
      </w:r>
      <w:r>
        <w:br/>
      </w:r>
      <w:r>
        <w:rPr>
          <w:rFonts w:ascii="Consolas" w:cs="Consolas" w:eastAsia="Consolas" w:hAnsi="Consolas"/>
          <w:sz w:val="18"/>
          <w:szCs w:val="18"/>
        </w:rPr>
        <w:t xml:space="preserve">UNION ALL SELECT 'batches', COUNT(*) FROM batches</w:t>
      </w:r>
      <w:r>
        <w:br/>
      </w:r>
      <w:r>
        <w:rPr>
          <w:rFonts w:ascii="Consolas" w:cs="Consolas" w:eastAsia="Consolas" w:hAnsi="Consolas"/>
          <w:sz w:val="18"/>
          <w:szCs w:val="18"/>
        </w:rPr>
        <w:t xml:space="preserve">UNION ALL SELECT 'batch_charts', COUNT(*) FROM batch_charts</w:t>
      </w:r>
      <w:r>
        <w:br/>
      </w:r>
      <w:r>
        <w:rPr>
          <w:rFonts w:ascii="Consolas" w:cs="Consolas" w:eastAsia="Consolas" w:hAnsi="Consolas"/>
          <w:sz w:val="18"/>
          <w:szCs w:val="18"/>
        </w:rPr>
        <w:t xml:space="preserve">UNION ALL SELECT 'grading_results', COUNT(*) FROM grading_results</w:t>
      </w:r>
      <w:r>
        <w:br/>
      </w:r>
      <w:r>
        <w:rPr>
          <w:rFonts w:ascii="Consolas" w:cs="Consolas" w:eastAsia="Consolas" w:hAnsi="Consolas"/>
          <w:sz w:val="18"/>
          <w:szCs w:val="18"/>
        </w:rPr>
        <w:t xml:space="preserve">UNION ALL SELECT 'practice_sessions', COUNT(*) FROM practice_sessions</w:t>
      </w:r>
      <w:r>
        <w:br/>
      </w:r>
      <w:r>
        <w:rPr>
          <w:rFonts w:ascii="Consolas" w:cs="Consolas" w:eastAsia="Consolas" w:hAnsi="Consolas"/>
          <w:sz w:val="18"/>
          <w:szCs w:val="18"/>
        </w:rPr>
        <w:t xml:space="preserve">UNION ALL SELECT 'practice_results', COUNT(*) FROM practice_results</w:t>
      </w:r>
      <w:r>
        <w:br/>
      </w:r>
      <w:r>
        <w:rPr>
          <w:rFonts w:ascii="Consolas" w:cs="Consolas" w:eastAsia="Consolas" w:hAnsi="Consolas"/>
          <w:sz w:val="18"/>
          <w:szCs w:val="18"/>
        </w:rPr>
        <w:t xml:space="preserve">UNION ALL SELECT 'assessment_questions', COUNT(*) FROM assessment_questions</w:t>
      </w:r>
      <w:r>
        <w:br/>
      </w:r>
      <w:r>
        <w:rPr>
          <w:rFonts w:ascii="Consolas" w:cs="Consolas" w:eastAsia="Consolas" w:hAnsi="Consolas"/>
          <w:sz w:val="18"/>
          <w:szCs w:val="18"/>
        </w:rPr>
        <w:t xml:space="preserve">UNION ALL SELECT 'assessment_sessions', COUNT(*) FROM assessment_sessions</w:t>
      </w:r>
      <w:r>
        <w:br/>
      </w:r>
      <w:r>
        <w:rPr>
          <w:rFonts w:ascii="Consolas" w:cs="Consolas" w:eastAsia="Consolas" w:hAnsi="Consolas"/>
          <w:sz w:val="18"/>
          <w:szCs w:val="18"/>
        </w:rPr>
        <w:t xml:space="preserve">UNION ALL SELECT 'assessment_results', COUNT(*) FROM assessment_results</w:t>
      </w:r>
      <w:r>
        <w:br/>
      </w:r>
      <w:r>
        <w:rPr>
          <w:rFonts w:ascii="Consolas" w:cs="Consolas" w:eastAsia="Consolas" w:hAnsi="Consolas"/>
          <w:sz w:val="18"/>
          <w:szCs w:val="18"/>
        </w:rPr>
        <w:t xml:space="preserve">ORDER BY 1;</w:t>
      </w:r>
    </w:p>
    <w:p>
      <w:pPr>
        <w:pStyle w:val="Heading3"/>
        <w:spacing w:after="100" w:before="200"/>
      </w:pPr>
      <w:r>
        <w:rPr>
          <w:b/>
          <w:bCs/>
          <w:color w:val="2E75B6"/>
          <w:sz w:val="22"/>
          <w:szCs w:val="22"/>
        </w:rPr>
        <w:t xml:space="preserve">3.6.2 Sequences</w:t>
      </w:r>
    </w:p>
    <w:p>
      <w:pPr>
        <w:spacing w:after="120" w:line="280"/>
      </w:pPr>
      <w:r>
        <w:rPr>
          <w:sz w:val="21"/>
          <w:szCs w:val="21"/>
        </w:rPr>
        <w:t xml:space="preserve">A pg_restore of a custom-format dump normally restores sequence positions correctly. Verify rather than assume — the symptom of getting this wrong is a duplicate-key error on the first insert after go-live.</w:t>
      </w:r>
    </w:p>
    <w:p>
      <w:pPr>
        <w:spacing w:after="120" w:line="280"/>
      </w:pPr>
      <w:r>
        <w:rPr>
          <w:sz w:val="21"/>
          <w:szCs w:val="21"/>
        </w:rPr>
        <w:t xml:space="preserve">To repair one:</w:t>
      </w:r>
    </w:p>
    <w:p>
      <w:pPr>
        <w:pBdr>
          <w:left w:val="single" w:color="2E75B6" w:sz="12" w:space="6"/>
        </w:pBdr>
        <w:shd w:fill="F2F2F2" w:val="clear"/>
        <w:spacing w:after="140" w:before="100" w:line="260"/>
        <w:ind w:left="120"/>
      </w:pPr>
      <w:r>
        <w:rPr>
          <w:rFonts w:ascii="Consolas" w:cs="Consolas" w:eastAsia="Consolas" w:hAnsi="Consolas"/>
          <w:sz w:val="18"/>
          <w:szCs w:val="18"/>
        </w:rPr>
        <w:t xml:space="preserve">SELECT setval(</w:t>
      </w:r>
      <w:r>
        <w:br/>
      </w:r>
      <w:r>
        <w:rPr>
          <w:rFonts w:ascii="Consolas" w:cs="Consolas" w:eastAsia="Consolas" w:hAnsi="Consolas"/>
          <w:sz w:val="18"/>
          <w:szCs w:val="18"/>
        </w:rPr>
        <w:t xml:space="preserve">  pg_get_serial_sequence('charts', 'id'),</w:t>
      </w:r>
      <w:r>
        <w:br/>
      </w:r>
      <w:r>
        <w:rPr>
          <w:rFonts w:ascii="Consolas" w:cs="Consolas" w:eastAsia="Consolas" w:hAnsi="Consolas"/>
          <w:sz w:val="18"/>
          <w:szCs w:val="18"/>
        </w:rPr>
        <w:t xml:space="preserve">  (SELECT COALESCE(MAX(id), 1) FROM charts)</w:t>
      </w:r>
      <w:r>
        <w:br/>
      </w:r>
      <w:r>
        <w:rPr>
          <w:rFonts w:ascii="Consolas" w:cs="Consolas" w:eastAsia="Consolas" w:hAnsi="Consolas"/>
          <w:sz w:val="18"/>
          <w:szCs w:val="18"/>
        </w:rPr>
        <w:t xml:space="preserve">);</w:t>
      </w:r>
    </w:p>
    <w:p>
      <w:pPr>
        <w:spacing w:after="120" w:line="280"/>
      </w:pPr>
      <w:r>
        <w:rPr>
          <w:sz w:val="21"/>
          <w:szCs w:val="21"/>
        </w:rPr>
        <w:t xml:space="preserve">Repeat per affected table. Six tables were originally created with </w:t>
      </w:r>
      <w:r>
        <w:rPr>
          <w:rFonts w:ascii="Consolas" w:cs="Consolas" w:eastAsia="Consolas" w:hAnsi="Consolas"/>
          <w:color w:val="9C27B0"/>
          <w:sz w:val="19"/>
          <w:szCs w:val="19"/>
        </w:rPr>
        <w:t xml:space="preserve">INTEGER PRIMARY KEY</w:t>
      </w:r>
      <w:r>
        <w:rPr>
          <w:sz w:val="21"/>
          <w:szCs w:val="21"/>
        </w:rPr>
        <w:t xml:space="preserve"> rather than </w:t>
      </w:r>
      <w:r>
        <w:rPr>
          <w:rFonts w:ascii="Consolas" w:cs="Consolas" w:eastAsia="Consolas" w:hAnsi="Consolas"/>
          <w:color w:val="9C27B0"/>
          <w:sz w:val="19"/>
          <w:szCs w:val="19"/>
        </w:rPr>
        <w:t xml:space="preserve">SERIAL</w:t>
      </w:r>
      <w:r>
        <w:rPr>
          <w:sz w:val="21"/>
          <w:szCs w:val="21"/>
        </w:rPr>
        <w:t xml:space="preserve"> and had sequences attached later by migration (</w:t>
      </w:r>
      <w:r>
        <w:rPr>
          <w:rFonts w:ascii="Consolas" w:cs="Consolas" w:eastAsia="Consolas" w:hAnsi="Consolas"/>
          <w:color w:val="9C27B0"/>
          <w:sz w:val="19"/>
          <w:szCs w:val="19"/>
        </w:rPr>
        <w:t xml:space="preserve">practice_sessions, practice_chart_drafts, practice_results</w:t>
      </w:r>
      <w:r>
        <w:rPr>
          <w:sz w:val="21"/>
          <w:szCs w:val="21"/>
        </w:rPr>
        <w:t xml:space="preserve"> and their dependants) — these are the most likely to need attention.</w:t>
      </w:r>
    </w:p>
    <w:p>
      <w:pPr>
        <w:pStyle w:val="Heading3"/>
        <w:spacing w:after="100" w:before="200"/>
      </w:pPr>
      <w:r>
        <w:rPr>
          <w:b/>
          <w:bCs/>
          <w:color w:val="2E75B6"/>
          <w:sz w:val="22"/>
          <w:szCs w:val="22"/>
        </w:rPr>
        <w:t xml:space="preserve">3.6.3 Application health</w:t>
      </w:r>
    </w:p>
    <w:p>
      <w:pPr>
        <w:pBdr>
          <w:left w:val="single" w:color="2E75B6" w:sz="12" w:space="6"/>
        </w:pBdr>
        <w:shd w:fill="F2F2F2" w:val="clear"/>
        <w:spacing w:after="140" w:before="100" w:line="260"/>
        <w:ind w:left="120"/>
      </w:pPr>
      <w:r>
        <w:rPr>
          <w:rFonts w:ascii="Consolas" w:cs="Consolas" w:eastAsia="Consolas" w:hAnsi="Consolas"/>
          <w:sz w:val="18"/>
          <w:szCs w:val="18"/>
        </w:rPr>
        <w:t xml:space="preserve">curl -s https://YOUR-INTERNAL-API/health</w:t>
      </w:r>
      <w:r>
        <w:br/>
      </w:r>
      <w:r>
        <w:rPr>
          <w:rFonts w:ascii="Consolas" w:cs="Consolas" w:eastAsia="Consolas" w:hAnsi="Consolas"/>
          <w:sz w:val="18"/>
          <w:szCs w:val="18"/>
        </w:rPr>
        <w:t xml:space="preserve"># {"status":"ok"}</w:t>
      </w:r>
    </w:p>
    <w:p>
      <w:pPr>
        <w:spacing w:after="120" w:line="280"/>
      </w:pPr>
      <w:r>
        <w:rPr>
          <w:rFonts w:ascii="Consolas" w:cs="Consolas" w:eastAsia="Consolas" w:hAnsi="Consolas"/>
          <w:color w:val="9C27B0"/>
          <w:sz w:val="19"/>
          <w:szCs w:val="19"/>
        </w:rPr>
        <w:t xml:space="preserve">/health</w:t>
      </w:r>
      <w:r>
        <w:rPr>
          <w:sz w:val="21"/>
          <w:szCs w:val="21"/>
        </w:rPr>
        <w:t xml:space="preserve"> confirms the process is up. It does not touch the database — use this instead for a real read:</w:t>
      </w:r>
    </w:p>
    <w:p>
      <w:pPr>
        <w:pBdr>
          <w:left w:val="single" w:color="2E75B6" w:sz="12" w:space="6"/>
        </w:pBdr>
        <w:shd w:fill="F2F2F2" w:val="clear"/>
        <w:spacing w:after="140" w:before="100" w:line="260"/>
        <w:ind w:left="120"/>
      </w:pPr>
      <w:r>
        <w:rPr>
          <w:rFonts w:ascii="Consolas" w:cs="Consolas" w:eastAsia="Consolas" w:hAnsi="Consolas"/>
          <w:sz w:val="18"/>
          <w:szCs w:val="18"/>
        </w:rPr>
        <w:t xml:space="preserve">curl -s "https://YOUR-INTERNAL-API/charts/search?page_size=1"</w:t>
      </w:r>
    </w:p>
    <w:p>
      <w:pPr>
        <w:pStyle w:val="Heading3"/>
        <w:spacing w:after="100" w:before="200"/>
      </w:pPr>
      <w:r>
        <w:rPr>
          <w:b/>
          <w:bCs/>
          <w:color w:val="2E75B6"/>
          <w:sz w:val="22"/>
          <w:szCs w:val="22"/>
        </w:rPr>
        <w:t xml:space="preserve">3.6.4 End-to-end smoke test</w:t>
      </w:r>
    </w:p>
    <w:p>
      <w:pPr>
        <w:pStyle w:val="ListParagraph"/>
        <w:numPr>
          <w:ilvl w:val="0"/>
          <w:numId w:val="3"/>
        </w:numPr>
        <w:spacing w:after="80" w:line="280"/>
      </w:pPr>
      <w:r>
        <w:rPr>
          <w:sz w:val="21"/>
          <w:szCs w:val="21"/>
        </w:rPr>
        <w:t xml:space="preserve">Chart Library — search a chart, open it, confirm the file renders. This is the storage check, and the one most likely to fail.</w:t>
      </w:r>
    </w:p>
    <w:p>
      <w:pPr>
        <w:pStyle w:val="ListParagraph"/>
        <w:numPr>
          <w:ilvl w:val="0"/>
          <w:numId w:val="3"/>
        </w:numPr>
        <w:spacing w:after="80" w:line="280"/>
      </w:pPr>
      <w:r>
        <w:rPr>
          <w:sz w:val="21"/>
          <w:szCs w:val="21"/>
        </w:rPr>
        <w:t xml:space="preserve">PracticeLab — open an existing batch, confirm results and scores display.</w:t>
      </w:r>
    </w:p>
    <w:p>
      <w:pPr>
        <w:pStyle w:val="ListParagraph"/>
        <w:numPr>
          <w:ilvl w:val="0"/>
          <w:numId w:val="3"/>
        </w:numPr>
        <w:spacing w:after="80" w:line="280"/>
      </w:pPr>
      <w:r>
        <w:rPr>
          <w:sz w:val="21"/>
          <w:szCs w:val="21"/>
        </w:rPr>
        <w:t xml:space="preserve">Assessment — open Analytics, confirm figures match the source environment.</w:t>
      </w:r>
    </w:p>
    <w:tbl>
      <w:tblPr>
        <w:tblW w:type="dxa" w:w="9360"/>
        <w:tblBorders>
          <w:top w:val="single" w:color="E8A33D" w:sz="4"/>
          <w:left w:val="single" w:color="E8A33D" w:sz="18"/>
          <w:bottom w:val="single" w:color="E8A33D" w:sz="4"/>
          <w:right w:val="single" w:color="E8A33D" w:sz="4"/>
          <w:insideH w:val="single" w:color="auto" w:sz="4"/>
          <w:insideV w:val="single" w:color="auto" w:sz="4"/>
        </w:tblBorders>
      </w:tblPr>
      <w:tblGrid>
        <w:gridCol w:w="9360"/>
      </w:tblGrid>
      <w:tr>
        <w:tc>
          <w:tcPr>
            <w:tcW w:type="dxa" w:w="9360"/>
            <w:shd w:fill="FFF4E5" w:val="clear"/>
            <w:tcMar>
              <w:top w:type="dxa" w:w="140"/>
              <w:left w:type="dxa" w:w="180"/>
              <w:bottom w:type="dxa" w:w="140"/>
              <w:right w:type="dxa" w:w="180"/>
            </w:tcMar>
          </w:tcPr>
          <w:p>
            <w:pPr>
              <w:spacing w:after="80"/>
            </w:pPr>
            <w:r>
              <w:rPr>
                <w:b/>
                <w:bCs/>
                <w:color w:val="8A5A00"/>
                <w:sz w:val="21"/>
                <w:szCs w:val="21"/>
              </w:rPr>
              <w:t xml:space="preserve">The failure mode to watch for</w:t>
            </w:r>
          </w:p>
          <w:p>
            <w:pPr>
              <w:spacing w:after="60" w:line="280"/>
            </w:pPr>
            <w:r>
              <w:rPr>
                <w:sz w:val="21"/>
                <w:szCs w:val="21"/>
              </w:rPr>
              <w:t xml:space="preserve">A database-only migration produces an application that looks entirely healthy: charts list, batches open, results display, analytics compute. Every chart is a broken image.</w:t>
            </w:r>
          </w:p>
          <w:p>
            <w:pPr>
              <w:spacing w:after="60" w:line="280"/>
            </w:pPr>
            <w:r>
              <w:rPr>
                <w:b/>
                <w:bCs/>
                <w:sz w:val="21"/>
                <w:szCs w:val="21"/>
              </w:rPr>
              <w:t xml:space="preserve">Verify by opening a chart and confirming the page renders, not by confirming the chart appears in a list.</w:t>
            </w:r>
          </w:p>
        </w:tc>
      </w:tr>
    </w:tbl>
    <w:p>
      <w:pPr>
        <w:pStyle w:val="Heading2"/>
        <w:spacing w:after="120" w:before="280"/>
      </w:pPr>
      <w:r>
        <w:rPr>
          <w:b/>
          <w:bCs/>
          <w:color w:val="1F3864"/>
          <w:sz w:val="24"/>
          <w:szCs w:val="24"/>
        </w:rPr>
        <w:t xml:space="preserve">3.7 Table inventory</w:t>
      </w:r>
    </w:p>
    <w:p>
      <w:pPr>
        <w:spacing w:after="120" w:line="280"/>
      </w:pPr>
      <w:r>
        <w:rPr>
          <w:sz w:val="21"/>
          <w:szCs w:val="21"/>
        </w:rPr>
        <w:t xml:space="preserve">32 tables, grouped by subsystem.</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6960"/>
      </w:tblGrid>
      <w:tr>
        <w:trPr>
          <w:tblHeader/>
        </w:trPr>
        <w:tc>
          <w:tcPr>
            <w:tcW w:type="dxa" w:w="2400"/>
            <w:shd w:fill="DCE6F1" w:val="clear"/>
            <w:tcMar>
              <w:top w:type="dxa" w:w="90"/>
              <w:left w:type="dxa" w:w="130"/>
              <w:bottom w:type="dxa" w:w="90"/>
              <w:right w:type="dxa" w:w="130"/>
            </w:tcMar>
          </w:tcPr>
          <w:p>
            <w:r>
              <w:rPr>
                <w:b/>
                <w:bCs/>
                <w:color w:val="1F3864"/>
                <w:sz w:val="20"/>
                <w:szCs w:val="20"/>
              </w:rPr>
              <w:t xml:space="preserve">Subsystem</w:t>
            </w:r>
          </w:p>
        </w:tc>
        <w:tc>
          <w:tcPr>
            <w:tcW w:type="dxa" w:w="6960"/>
            <w:shd w:fill="DCE6F1" w:val="clear"/>
            <w:tcMar>
              <w:top w:type="dxa" w:w="90"/>
              <w:left w:type="dxa" w:w="130"/>
              <w:bottom w:type="dxa" w:w="90"/>
              <w:right w:type="dxa" w:w="130"/>
            </w:tcMar>
          </w:tcPr>
          <w:p>
            <w:r>
              <w:rPr>
                <w:b/>
                <w:bCs/>
                <w:color w:val="1F3864"/>
                <w:sz w:val="20"/>
                <w:szCs w:val="20"/>
              </w:rPr>
              <w:t xml:space="preserve">Tables</w:t>
            </w:r>
          </w:p>
        </w:tc>
      </w:tr>
      <w:tr>
        <w:tc>
          <w:tcPr>
            <w:tcW w:type="dxa" w:w="2400"/>
            <w:tcMar>
              <w:top w:type="dxa" w:w="90"/>
              <w:left w:type="dxa" w:w="130"/>
              <w:bottom w:type="dxa" w:w="90"/>
              <w:right w:type="dxa" w:w="130"/>
            </w:tcMar>
          </w:tcPr>
          <w:p>
            <w:r>
              <w:rPr>
                <w:sz w:val="20"/>
                <w:szCs w:val="20"/>
              </w:rPr>
              <w:t xml:space="preserve">Chart Library</w:t>
            </w:r>
          </w:p>
        </w:tc>
        <w:tc>
          <w:tcPr>
            <w:tcW w:type="dxa" w:w="6960"/>
            <w:tcMar>
              <w:top w:type="dxa" w:w="90"/>
              <w:left w:type="dxa" w:w="130"/>
              <w:bottom w:type="dxa" w:w="90"/>
              <w:right w:type="dxa" w:w="130"/>
            </w:tcMar>
          </w:tcPr>
          <w:p>
            <w:r>
              <w:rPr>
                <w:rFonts w:ascii="Consolas" w:cs="Consolas" w:eastAsia="Consolas" w:hAnsi="Consolas"/>
                <w:sz w:val="18"/>
                <w:szCs w:val="18"/>
              </w:rPr>
              <w:t xml:space="preserve">charts, chart_files, chart_sequences, chart_feedback, audit_logs, coding_resources</w:t>
            </w:r>
          </w:p>
        </w:tc>
      </w:tr>
      <w:tr>
        <w:tc>
          <w:tcPr>
            <w:tcW w:type="dxa" w:w="2400"/>
            <w:tcMar>
              <w:top w:type="dxa" w:w="90"/>
              <w:left w:type="dxa" w:w="130"/>
              <w:bottom w:type="dxa" w:w="90"/>
              <w:right w:type="dxa" w:w="130"/>
            </w:tcMar>
          </w:tcPr>
          <w:p>
            <w:r>
              <w:rPr>
                <w:sz w:val="20"/>
                <w:szCs w:val="20"/>
              </w:rPr>
              <w:t xml:space="preserve">PracticeLab</w:t>
            </w:r>
          </w:p>
        </w:tc>
        <w:tc>
          <w:tcPr>
            <w:tcW w:type="dxa" w:w="6960"/>
            <w:tcMar>
              <w:top w:type="dxa" w:w="90"/>
              <w:left w:type="dxa" w:w="130"/>
              <w:bottom w:type="dxa" w:w="90"/>
              <w:right w:type="dxa" w:w="130"/>
            </w:tcMar>
          </w:tcPr>
          <w:p>
            <w:r>
              <w:rPr>
                <w:rFonts w:ascii="Consolas" w:cs="Consolas" w:eastAsia="Consolas" w:hAnsi="Consolas"/>
                <w:sz w:val="18"/>
                <w:szCs w:val="18"/>
              </w:rPr>
              <w:t xml:space="preserve">batches, batch_coders, batch_charts, batch_allocation_cycles, submissions, grading_results, grading_feedback, ed_rubric_details, answer_keys, scoring_configs, self_practice_submissions, self_practice_results</w:t>
            </w:r>
          </w:p>
        </w:tc>
      </w:tr>
      <w:tr>
        <w:tc>
          <w:tcPr>
            <w:tcW w:type="dxa" w:w="2400"/>
            <w:tcMar>
              <w:top w:type="dxa" w:w="90"/>
              <w:left w:type="dxa" w:w="130"/>
              <w:bottom w:type="dxa" w:w="90"/>
              <w:right w:type="dxa" w:w="130"/>
            </w:tcMar>
          </w:tcPr>
          <w:p>
            <w:r>
              <w:rPr>
                <w:sz w:val="20"/>
                <w:szCs w:val="20"/>
              </w:rPr>
              <w:t xml:space="preserve">PracticeLab E/M</w:t>
            </w:r>
          </w:p>
        </w:tc>
        <w:tc>
          <w:tcPr>
            <w:tcW w:type="dxa" w:w="6960"/>
            <w:tcMar>
              <w:top w:type="dxa" w:w="90"/>
              <w:left w:type="dxa" w:w="130"/>
              <w:bottom w:type="dxa" w:w="90"/>
              <w:right w:type="dxa" w:w="130"/>
            </w:tcMar>
          </w:tcPr>
          <w:p>
            <w:r>
              <w:rPr>
                <w:rFonts w:ascii="Consolas" w:cs="Consolas" w:eastAsia="Consolas" w:hAnsi="Consolas"/>
                <w:sz w:val="18"/>
                <w:szCs w:val="18"/>
              </w:rPr>
              <w:t xml:space="preserve">em_answer_keys, em_grading_results, em_scoring_configs</w:t>
            </w:r>
          </w:p>
        </w:tc>
      </w:tr>
      <w:tr>
        <w:tc>
          <w:tcPr>
            <w:tcW w:type="dxa" w:w="2400"/>
            <w:tcMar>
              <w:top w:type="dxa" w:w="90"/>
              <w:left w:type="dxa" w:w="130"/>
              <w:bottom w:type="dxa" w:w="90"/>
              <w:right w:type="dxa" w:w="130"/>
            </w:tcMar>
          </w:tcPr>
          <w:p>
            <w:r>
              <w:rPr>
                <w:sz w:val="20"/>
                <w:szCs w:val="20"/>
              </w:rPr>
              <w:t xml:space="preserve">PracticeLab sessions</w:t>
            </w:r>
          </w:p>
        </w:tc>
        <w:tc>
          <w:tcPr>
            <w:tcW w:type="dxa" w:w="6960"/>
            <w:tcMar>
              <w:top w:type="dxa" w:w="90"/>
              <w:left w:type="dxa" w:w="130"/>
              <w:bottom w:type="dxa" w:w="90"/>
              <w:right w:type="dxa" w:w="130"/>
            </w:tcMar>
          </w:tcPr>
          <w:p>
            <w:r>
              <w:rPr>
                <w:rFonts w:ascii="Consolas" w:cs="Consolas" w:eastAsia="Consolas" w:hAnsi="Consolas"/>
                <w:sz w:val="18"/>
                <w:szCs w:val="18"/>
              </w:rPr>
              <w:t xml:space="preserve">practice_sessions, practice_chart_drafts, practice_results</w:t>
            </w:r>
          </w:p>
        </w:tc>
      </w:tr>
      <w:tr>
        <w:tc>
          <w:tcPr>
            <w:tcW w:type="dxa" w:w="2400"/>
            <w:tcMar>
              <w:top w:type="dxa" w:w="90"/>
              <w:left w:type="dxa" w:w="130"/>
              <w:bottom w:type="dxa" w:w="90"/>
              <w:right w:type="dxa" w:w="130"/>
            </w:tcMar>
          </w:tcPr>
          <w:p>
            <w:r>
              <w:rPr>
                <w:sz w:val="20"/>
                <w:szCs w:val="20"/>
              </w:rPr>
              <w:t xml:space="preserve">Assessment</w:t>
            </w:r>
          </w:p>
        </w:tc>
        <w:tc>
          <w:tcPr>
            <w:tcW w:type="dxa" w:w="6960"/>
            <w:tcMar>
              <w:top w:type="dxa" w:w="90"/>
              <w:left w:type="dxa" w:w="130"/>
              <w:bottom w:type="dxa" w:w="90"/>
              <w:right w:type="dxa" w:w="130"/>
            </w:tcMar>
          </w:tcPr>
          <w:p>
            <w:r>
              <w:rPr>
                <w:rFonts w:ascii="Consolas" w:cs="Consolas" w:eastAsia="Consolas" w:hAnsi="Consolas"/>
                <w:sz w:val="18"/>
                <w:szCs w:val="18"/>
              </w:rPr>
              <w:t xml:space="preserve">assessment_questions, assessment_configs, generated_assessments, generated_assessment_students, assessment_sessions, assessment_responses, assessment_results, assessment_audit_log</w:t>
            </w:r>
          </w:p>
        </w:tc>
      </w:tr>
    </w:tbl>
    <w:p>
      <w:pPr>
        <w:pStyle w:val="Heading2"/>
        <w:spacing w:after="120" w:before="280"/>
      </w:pPr>
      <w:r>
        <w:rPr>
          <w:b/>
          <w:bCs/>
          <w:color w:val="1F3864"/>
          <w:sz w:val="24"/>
          <w:szCs w:val="24"/>
        </w:rPr>
        <w:t xml:space="preserve">3.8 Sizing</w:t>
      </w:r>
    </w:p>
    <w:p>
      <w:pPr>
        <w:spacing w:after="120" w:line="280"/>
      </w:pPr>
      <w:r>
        <w:rPr>
          <w:sz w:val="21"/>
          <w:szCs w:val="21"/>
        </w:rPr>
        <w:t xml:space="preserve">To estimate the bucket:</w:t>
      </w:r>
    </w:p>
    <w:p>
      <w:pPr>
        <w:pBdr>
          <w:left w:val="single" w:color="2E75B6" w:sz="12" w:space="6"/>
        </w:pBdr>
        <w:shd w:fill="F2F2F2" w:val="clear"/>
        <w:spacing w:after="140" w:before="100" w:line="260"/>
        <w:ind w:left="120"/>
      </w:pPr>
      <w:r>
        <w:rPr>
          <w:rFonts w:ascii="Consolas" w:cs="Consolas" w:eastAsia="Consolas" w:hAnsi="Consolas"/>
          <w:sz w:val="18"/>
          <w:szCs w:val="18"/>
        </w:rPr>
        <w:t xml:space="preserve">SELECT COUNT(*) AS page_count FROM chart_files;</w:t>
      </w:r>
    </w:p>
    <w:p>
      <w:pPr>
        <w:spacing w:after="120" w:line="280"/>
      </w:pPr>
      <w:r>
        <w:rPr>
          <w:sz w:val="21"/>
          <w:szCs w:val="21"/>
        </w:rPr>
        <w:t xml:space="preserve">Every row is one PNG. Typical rendered chart pages run a few hundred KB each, so multiply for a rough figure — or query the bucket directly for the exact size, which is more reliable than an estimate.</w:t>
      </w:r>
    </w:p>
    <w:p>
      <w:pPr>
        <w:spacing w:after="120" w:line="280"/>
      </w:pPr>
      <w:r>
        <w:rPr>
          <w:sz w:val="21"/>
          <w:szCs w:val="21"/>
        </w:rPr>
        <w:t xml:space="preserve">The PostgreSQL side is small by comparison: text, codes and JSON, with no binary content of any kind.</w:t>
      </w:r>
    </w:p>
    <w:p>
      <w:pPr>
        <w:pStyle w:val="Heading2"/>
        <w:spacing w:after="120" w:before="280"/>
      </w:pPr>
      <w:r>
        <w:rPr>
          <w:b/>
          <w:bCs/>
          <w:color w:val="1F3864"/>
          <w:sz w:val="24"/>
          <w:szCs w:val="24"/>
        </w:rPr>
        <w:t xml:space="preserve">3.9 Ongoing operations</w:t>
      </w:r>
    </w:p>
    <w:p>
      <w:pPr>
        <w:pStyle w:val="ListParagraph"/>
        <w:numPr>
          <w:ilvl w:val="0"/>
          <w:numId w:val="2"/>
        </w:numPr>
        <w:spacing w:after="80" w:line="280"/>
      </w:pPr>
      <w:r>
        <w:rPr>
          <w:b/>
          <w:bCs/>
          <w:sz w:val="21"/>
          <w:szCs w:val="21"/>
        </w:rPr>
        <w:t xml:space="preserve">Backups. </w:t>
      </w:r>
      <w:r>
        <w:rPr>
          <w:sz w:val="21"/>
          <w:szCs w:val="21"/>
        </w:rPr>
        <w:t xml:space="preserve">Nothing in the application performs them. Schedule </w:t>
      </w:r>
      <w:r>
        <w:rPr>
          <w:rFonts w:ascii="Consolas" w:cs="Consolas" w:eastAsia="Consolas" w:hAnsi="Consolas"/>
          <w:color w:val="9C27B0"/>
          <w:sz w:val="19"/>
          <w:szCs w:val="19"/>
        </w:rPr>
        <w:t xml:space="preserve">pg_dump</w:t>
      </w:r>
      <w:r>
        <w:rPr>
          <w:sz w:val="21"/>
          <w:szCs w:val="21"/>
        </w:rPr>
        <w:t xml:space="preserve"> (daily is typical) plus a bucket backup for the chart files.</w:t>
      </w:r>
    </w:p>
    <w:p>
      <w:pPr>
        <w:pStyle w:val="ListParagraph"/>
        <w:numPr>
          <w:ilvl w:val="0"/>
          <w:numId w:val="2"/>
        </w:numPr>
        <w:spacing w:after="80" w:line="280"/>
      </w:pPr>
      <w:r>
        <w:rPr>
          <w:b/>
          <w:bCs/>
          <w:sz w:val="21"/>
          <w:szCs w:val="21"/>
        </w:rPr>
        <w:t xml:space="preserve">Deployments. </w:t>
      </w:r>
      <w:r>
        <w:rPr>
          <w:sz w:val="21"/>
          <w:szCs w:val="21"/>
        </w:rPr>
        <w:t xml:space="preserve">Each release runs </w:t>
      </w:r>
      <w:r>
        <w:rPr>
          <w:rFonts w:ascii="Consolas" w:cs="Consolas" w:eastAsia="Consolas" w:hAnsi="Consolas"/>
          <w:color w:val="9C27B0"/>
          <w:sz w:val="19"/>
          <w:szCs w:val="19"/>
        </w:rPr>
        <w:t xml:space="preserve">init_db()</w:t>
      </w:r>
      <w:r>
        <w:rPr>
          <w:sz w:val="21"/>
          <w:szCs w:val="21"/>
        </w:rPr>
        <w:t xml:space="preserve"> again. Additive migrations apply automatically; check the logs for </w:t>
      </w:r>
      <w:r>
        <w:rPr>
          <w:rFonts w:ascii="Consolas" w:cs="Consolas" w:eastAsia="Consolas" w:hAnsi="Consolas"/>
          <w:color w:val="9C27B0"/>
          <w:sz w:val="19"/>
          <w:szCs w:val="19"/>
        </w:rPr>
        <w:t xml:space="preserve">Migration DDL failed</w:t>
      </w:r>
      <w:r>
        <w:rPr>
          <w:sz w:val="21"/>
          <w:szCs w:val="21"/>
        </w:rPr>
        <w:t xml:space="preserve"> after any deploy that changed the schema.</w:t>
      </w:r>
    </w:p>
    <w:p>
      <w:pPr>
        <w:pStyle w:val="ListParagraph"/>
        <w:numPr>
          <w:ilvl w:val="0"/>
          <w:numId w:val="2"/>
        </w:numPr>
        <w:spacing w:after="80" w:line="280"/>
      </w:pPr>
      <w:r>
        <w:rPr>
          <w:b/>
          <w:bCs/>
          <w:sz w:val="21"/>
          <w:szCs w:val="21"/>
        </w:rPr>
        <w:t xml:space="preserve">Rollback. </w:t>
      </w:r>
      <w:r>
        <w:rPr>
          <w:sz w:val="21"/>
          <w:szCs w:val="21"/>
        </w:rPr>
        <w:t xml:space="preserve">Application rollback does not roll the schema back. Because migrations only add, an older application release generally runs against a newer schema — but this is not guaranteed and should be tested rather than relied on.</w:t>
      </w:r>
    </w:p>
    <w:p>
      <w:r>
        <w:br w:type="page"/>
      </w:r>
    </w:p>
    <w:p>
      <w:pPr>
        <w:pStyle w:val="Heading1"/>
        <w:spacing w:after="160" w:before="360"/>
      </w:pPr>
      <w:r>
        <w:rPr>
          <w:b/>
          <w:bCs/>
          <w:color w:val="1F3864"/>
          <w:sz w:val="30"/>
          <w:szCs w:val="30"/>
        </w:rPr>
        <w:t xml:space="preserve">4. Open items for the receiving team</w:t>
      </w:r>
    </w:p>
    <w:p>
      <w:pPr>
        <w:spacing w:after="120" w:line="280"/>
      </w:pPr>
      <w:r>
        <w:rPr>
          <w:sz w:val="21"/>
          <w:szCs w:val="21"/>
        </w:rPr>
        <w:t xml:space="preserve">Decisions and confirmations needed before the migration can be scheduled.</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600"/>
        <w:gridCol w:w="6760"/>
        <w:gridCol w:w="2000"/>
      </w:tblGrid>
      <w:tr>
        <w:trPr>
          <w:tblHeader/>
        </w:trPr>
        <w:tc>
          <w:tcPr>
            <w:tcW w:type="dxa" w:w="600"/>
            <w:shd w:fill="DCE6F1" w:val="clear"/>
            <w:tcMar>
              <w:top w:type="dxa" w:w="90"/>
              <w:left w:type="dxa" w:w="130"/>
              <w:bottom w:type="dxa" w:w="90"/>
              <w:right w:type="dxa" w:w="130"/>
            </w:tcMar>
          </w:tcPr>
          <w:p>
            <w:r>
              <w:rPr>
                <w:b/>
                <w:bCs/>
                <w:color w:val="1F3864"/>
                <w:sz w:val="20"/>
                <w:szCs w:val="20"/>
              </w:rPr>
              <w:t xml:space="preserve">#</w:t>
            </w:r>
          </w:p>
        </w:tc>
        <w:tc>
          <w:tcPr>
            <w:tcW w:type="dxa" w:w="6760"/>
            <w:shd w:fill="DCE6F1" w:val="clear"/>
            <w:tcMar>
              <w:top w:type="dxa" w:w="90"/>
              <w:left w:type="dxa" w:w="130"/>
              <w:bottom w:type="dxa" w:w="90"/>
              <w:right w:type="dxa" w:w="130"/>
            </w:tcMar>
          </w:tcPr>
          <w:p>
            <w:r>
              <w:rPr>
                <w:b/>
                <w:bCs/>
                <w:color w:val="1F3864"/>
                <w:sz w:val="20"/>
                <w:szCs w:val="20"/>
              </w:rPr>
              <w:t xml:space="preserve">Item</w:t>
            </w:r>
          </w:p>
        </w:tc>
        <w:tc>
          <w:tcPr>
            <w:tcW w:type="dxa" w:w="2000"/>
            <w:shd w:fill="DCE6F1" w:val="clear"/>
            <w:tcMar>
              <w:top w:type="dxa" w:w="90"/>
              <w:left w:type="dxa" w:w="130"/>
              <w:bottom w:type="dxa" w:w="90"/>
              <w:right w:type="dxa" w:w="130"/>
            </w:tcMar>
          </w:tcPr>
          <w:p>
            <w:r>
              <w:rPr>
                <w:b/>
                <w:bCs/>
                <w:color w:val="1F3864"/>
                <w:sz w:val="20"/>
                <w:szCs w:val="20"/>
              </w:rPr>
              <w:t xml:space="preserve">Owner</w:t>
            </w:r>
          </w:p>
        </w:tc>
      </w:tr>
      <w:tr>
        <w:tc>
          <w:tcPr>
            <w:tcW w:type="dxa" w:w="600"/>
            <w:tcMar>
              <w:top w:type="dxa" w:w="90"/>
              <w:left w:type="dxa" w:w="130"/>
              <w:bottom w:type="dxa" w:w="90"/>
              <w:right w:type="dxa" w:w="130"/>
            </w:tcMar>
          </w:tcPr>
          <w:p>
            <w:r>
              <w:rPr>
                <w:sz w:val="20"/>
                <w:szCs w:val="20"/>
              </w:rPr>
              <w:t xml:space="preserve">1</w:t>
            </w:r>
          </w:p>
        </w:tc>
        <w:tc>
          <w:tcPr>
            <w:tcW w:type="dxa" w:w="6760"/>
            <w:tcMar>
              <w:top w:type="dxa" w:w="90"/>
              <w:left w:type="dxa" w:w="130"/>
              <w:bottom w:type="dxa" w:w="90"/>
              <w:right w:type="dxa" w:w="130"/>
            </w:tcMar>
          </w:tcPr>
          <w:p>
            <w:r>
              <w:rPr>
                <w:sz w:val="20"/>
                <w:szCs w:val="20"/>
              </w:rPr>
              <w:t xml:space="preserve">Confirm the PostgreSQL major version to provision (3.4.1)</w:t>
            </w:r>
          </w:p>
        </w:tc>
        <w:tc>
          <w:tcPr>
            <w:tcW w:type="dxa" w:w="2000"/>
            <w:tcMar>
              <w:top w:type="dxa" w:w="90"/>
              <w:left w:type="dxa" w:w="130"/>
              <w:bottom w:type="dxa" w:w="90"/>
              <w:right w:type="dxa" w:w="130"/>
            </w:tcMar>
          </w:tcPr>
          <w:p>
            <w:r>
              <w:rPr>
                <w:sz w:val="20"/>
                <w:szCs w:val="20"/>
              </w:rPr>
              <w:t xml:space="preserve"/>
            </w:r>
          </w:p>
        </w:tc>
      </w:tr>
      <w:tr>
        <w:tc>
          <w:tcPr>
            <w:tcW w:type="dxa" w:w="600"/>
            <w:tcMar>
              <w:top w:type="dxa" w:w="90"/>
              <w:left w:type="dxa" w:w="130"/>
              <w:bottom w:type="dxa" w:w="90"/>
              <w:right w:type="dxa" w:w="130"/>
            </w:tcMar>
          </w:tcPr>
          <w:p>
            <w:r>
              <w:rPr>
                <w:sz w:val="20"/>
                <w:szCs w:val="20"/>
              </w:rPr>
              <w:t xml:space="preserve">2</w:t>
            </w:r>
          </w:p>
        </w:tc>
        <w:tc>
          <w:tcPr>
            <w:tcW w:type="dxa" w:w="6760"/>
            <w:tcMar>
              <w:top w:type="dxa" w:w="90"/>
              <w:left w:type="dxa" w:w="130"/>
              <w:bottom w:type="dxa" w:w="90"/>
              <w:right w:type="dxa" w:w="130"/>
            </w:tcMar>
          </w:tcPr>
          <w:p>
            <w:r>
              <w:rPr>
                <w:sz w:val="20"/>
                <w:szCs w:val="20"/>
              </w:rPr>
              <w:t xml:space="preserve">Decide storage: re-point at the existing bucket, or copy it (Part 2)</w:t>
            </w:r>
          </w:p>
        </w:tc>
        <w:tc>
          <w:tcPr>
            <w:tcW w:type="dxa" w:w="2000"/>
            <w:tcMar>
              <w:top w:type="dxa" w:w="90"/>
              <w:left w:type="dxa" w:w="130"/>
              <w:bottom w:type="dxa" w:w="90"/>
              <w:right w:type="dxa" w:w="130"/>
            </w:tcMar>
          </w:tcPr>
          <w:p>
            <w:r>
              <w:rPr>
                <w:sz w:val="20"/>
                <w:szCs w:val="20"/>
              </w:rPr>
              <w:t xml:space="preserve"/>
            </w:r>
          </w:p>
        </w:tc>
      </w:tr>
      <w:tr>
        <w:tc>
          <w:tcPr>
            <w:tcW w:type="dxa" w:w="600"/>
            <w:tcMar>
              <w:top w:type="dxa" w:w="90"/>
              <w:left w:type="dxa" w:w="130"/>
              <w:bottom w:type="dxa" w:w="90"/>
              <w:right w:type="dxa" w:w="130"/>
            </w:tcMar>
          </w:tcPr>
          <w:p>
            <w:r>
              <w:rPr>
                <w:sz w:val="20"/>
                <w:szCs w:val="20"/>
              </w:rPr>
              <w:t xml:space="preserve">3</w:t>
            </w:r>
          </w:p>
        </w:tc>
        <w:tc>
          <w:tcPr>
            <w:tcW w:type="dxa" w:w="6760"/>
            <w:tcMar>
              <w:top w:type="dxa" w:w="90"/>
              <w:left w:type="dxa" w:w="130"/>
              <w:bottom w:type="dxa" w:w="90"/>
              <w:right w:type="dxa" w:w="130"/>
            </w:tcMar>
          </w:tcPr>
          <w:p>
            <w:r>
              <w:rPr>
                <w:sz w:val="20"/>
                <w:szCs w:val="20"/>
              </w:rPr>
              <w:t xml:space="preserve">Confirm who holds </w:t>
            </w:r>
            <w:r>
              <w:rPr>
                <w:rFonts w:ascii="Consolas" w:cs="Consolas" w:eastAsia="Consolas" w:hAnsi="Consolas"/>
                <w:sz w:val="18"/>
                <w:szCs w:val="18"/>
              </w:rPr>
              <w:t xml:space="preserve">MASTER_ADMIN_PASSPHRASE</w:t>
            </w:r>
            <w:r>
              <w:rPr>
                <w:sz w:val="20"/>
                <w:szCs w:val="20"/>
              </w:rPr>
              <w:t xml:space="preserve"> and how it is rotated</w:t>
            </w:r>
          </w:p>
        </w:tc>
        <w:tc>
          <w:tcPr>
            <w:tcW w:type="dxa" w:w="2000"/>
            <w:tcMar>
              <w:top w:type="dxa" w:w="90"/>
              <w:left w:type="dxa" w:w="130"/>
              <w:bottom w:type="dxa" w:w="90"/>
              <w:right w:type="dxa" w:w="130"/>
            </w:tcMar>
          </w:tcPr>
          <w:p>
            <w:r>
              <w:rPr>
                <w:sz w:val="20"/>
                <w:szCs w:val="20"/>
              </w:rPr>
              <w:t xml:space="preserve"/>
            </w:r>
          </w:p>
        </w:tc>
      </w:tr>
      <w:tr>
        <w:tc>
          <w:tcPr>
            <w:tcW w:type="dxa" w:w="600"/>
            <w:tcMar>
              <w:top w:type="dxa" w:w="90"/>
              <w:left w:type="dxa" w:w="130"/>
              <w:bottom w:type="dxa" w:w="90"/>
              <w:right w:type="dxa" w:w="130"/>
            </w:tcMar>
          </w:tcPr>
          <w:p>
            <w:r>
              <w:rPr>
                <w:sz w:val="20"/>
                <w:szCs w:val="20"/>
              </w:rPr>
              <w:t xml:space="preserve">4</w:t>
            </w:r>
          </w:p>
        </w:tc>
        <w:tc>
          <w:tcPr>
            <w:tcW w:type="dxa" w:w="6760"/>
            <w:tcMar>
              <w:top w:type="dxa" w:w="90"/>
              <w:left w:type="dxa" w:w="130"/>
              <w:bottom w:type="dxa" w:w="90"/>
              <w:right w:type="dxa" w:w="130"/>
            </w:tcMar>
          </w:tcPr>
          <w:p>
            <w:r>
              <w:rPr>
                <w:sz w:val="20"/>
                <w:szCs w:val="20"/>
              </w:rPr>
              <w:t xml:space="preserve">Set </w:t>
            </w:r>
            <w:r>
              <w:rPr>
                <w:rFonts w:ascii="Consolas" w:cs="Consolas" w:eastAsia="Consolas" w:hAnsi="Consolas"/>
                <w:sz w:val="18"/>
                <w:szCs w:val="18"/>
              </w:rPr>
              <w:t xml:space="preserve">CORS_ORIGINS</w:t>
            </w:r>
            <w:r>
              <w:rPr>
                <w:sz w:val="20"/>
                <w:szCs w:val="20"/>
              </w:rPr>
              <w:t xml:space="preserve"> to the internal frontend origin — a mismatch produces a frontend that loads and then fails every request</w:t>
            </w:r>
          </w:p>
        </w:tc>
        <w:tc>
          <w:tcPr>
            <w:tcW w:type="dxa" w:w="2000"/>
            <w:tcMar>
              <w:top w:type="dxa" w:w="90"/>
              <w:left w:type="dxa" w:w="130"/>
              <w:bottom w:type="dxa" w:w="90"/>
              <w:right w:type="dxa" w:w="130"/>
            </w:tcMar>
          </w:tcPr>
          <w:p>
            <w:r>
              <w:rPr>
                <w:sz w:val="20"/>
                <w:szCs w:val="20"/>
              </w:rPr>
              <w:t xml:space="preserve"/>
            </w:r>
          </w:p>
        </w:tc>
      </w:tr>
      <w:tr>
        <w:tc>
          <w:tcPr>
            <w:tcW w:type="dxa" w:w="600"/>
            <w:tcMar>
              <w:top w:type="dxa" w:w="90"/>
              <w:left w:type="dxa" w:w="130"/>
              <w:bottom w:type="dxa" w:w="90"/>
              <w:right w:type="dxa" w:w="130"/>
            </w:tcMar>
          </w:tcPr>
          <w:p>
            <w:r>
              <w:rPr>
                <w:sz w:val="20"/>
                <w:szCs w:val="20"/>
              </w:rPr>
              <w:t xml:space="preserve">5</w:t>
            </w:r>
          </w:p>
        </w:tc>
        <w:tc>
          <w:tcPr>
            <w:tcW w:type="dxa" w:w="6760"/>
            <w:tcMar>
              <w:top w:type="dxa" w:w="90"/>
              <w:left w:type="dxa" w:w="130"/>
              <w:bottom w:type="dxa" w:w="90"/>
              <w:right w:type="dxa" w:w="130"/>
            </w:tcMar>
          </w:tcPr>
          <w:p>
            <w:r>
              <w:rPr>
                <w:sz w:val="20"/>
                <w:szCs w:val="20"/>
              </w:rPr>
              <w:t xml:space="preserve">Agree the backup schedule and retention</w:t>
            </w:r>
          </w:p>
        </w:tc>
        <w:tc>
          <w:tcPr>
            <w:tcW w:type="dxa" w:w="2000"/>
            <w:tcMar>
              <w:top w:type="dxa" w:w="90"/>
              <w:left w:type="dxa" w:w="130"/>
              <w:bottom w:type="dxa" w:w="90"/>
              <w:right w:type="dxa" w:w="130"/>
            </w:tcMar>
          </w:tcPr>
          <w:p>
            <w:r>
              <w:rPr>
                <w:sz w:val="20"/>
                <w:szCs w:val="20"/>
              </w:rPr>
              <w:t xml:space="preserve"/>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PracticeLab — Database &amp; Storage Handover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PracticeLab — Database &amp; Storage Handover</dc:title>
  <dc:creator>PracticeLab</dc:creator>
  <dc:description>Migration runbook and data storage model</dc:description>
  <cp:lastModifiedBy>Un-named</cp:lastModifiedBy>
  <cp:revision>1</cp:revision>
  <dcterms:created xsi:type="dcterms:W3CDTF">2026-08-12T14:59:46.867Z</dcterms:created>
  <dcterms:modified xsi:type="dcterms:W3CDTF">2026-08-12T14:59:46.870Z</dcterms:modified>
</cp:coreProperties>
</file>

<file path=docProps/custom.xml><?xml version="1.0" encoding="utf-8"?>
<Properties xmlns="http://schemas.openxmlformats.org/officeDocument/2006/custom-properties" xmlns:vt="http://schemas.openxmlformats.org/officeDocument/2006/docPropsVTypes"/>
</file>