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10"/>
        <w:jc w:val="center"/>
      </w:pPr>
      <w:r>
        <w:rPr>
          <w:b/>
          <w:bCs/>
          <w:color w:val="1F3864"/>
          <w:sz w:val="56"/>
          <w:szCs w:val="56"/>
        </w:rPr>
        <w:t xml:space="preserve">PracticeLab</w:t>
      </w:r>
    </w:p>
    <w:p>
      <w:pPr>
        <w:spacing w:after="340"/>
        <w:jc w:val="center"/>
      </w:pPr>
      <w:r>
        <w:rPr>
          <w:color w:val="2E75B6"/>
          <w:sz w:val="30"/>
          <w:szCs w:val="30"/>
        </w:rPr>
        <w:t xml:space="preserve">Data Architecture and Migration Specification</w:t>
      </w:r>
    </w:p>
    <w:p>
      <w:pPr>
        <w:pBdr>
          <w:top w:val="single" w:color="BFBFBF" w:sz="6"/>
        </w:pBdr>
        <w:spacing w:after="60"/>
        <w:jc w:val="center"/>
      </w:pPr>
      <w:r>
        <w:t xml:space="preserve"/>
      </w:r>
    </w:p>
    <w:p>
      <w:pPr>
        <w:spacing w:after="90" w:before="220"/>
        <w:jc w:val="center"/>
      </w:pPr>
      <w:r>
        <w:rPr>
          <w:i/>
          <w:iCs/>
          <w:color w:val="595959"/>
          <w:sz w:val="21"/>
          <w:szCs w:val="21"/>
        </w:rPr>
        <w:t xml:space="preserve">Database schema · object storage · migration procedure</w:t>
      </w:r>
    </w:p>
    <w:p>
      <w:pPr>
        <w:spacing w:after="90"/>
        <w:jc w:val="center"/>
      </w:pPr>
      <w:r>
        <w:rPr>
          <w:color w:val="595959"/>
          <w:sz w:val="20"/>
          <w:szCs w:val="20"/>
        </w:rPr>
        <w:t xml:space="preserve">Audience: infrastructure, database and application engineers</w:t>
      </w:r>
    </w:p>
    <w:p>
      <w:pPr>
        <w:spacing w:before="560"/>
        <w:jc w:val="center"/>
      </w:pPr>
      <w:r>
        <w:rPr>
          <w:color w:val="595959"/>
          <w:sz w:val="19"/>
          <w:szCs w:val="19"/>
        </w:rPr>
        <w:t xml:space="preserve">Version 1.0  ·  12 August 2026</w:t>
      </w:r>
    </w:p>
    <w:p>
      <w:r>
        <w:br w:type="page"/>
      </w:r>
    </w:p>
    <w:p>
      <w:pPr>
        <w:pStyle w:val="Heading1"/>
        <w:spacing w:after="170" w:before="400"/>
      </w:pPr>
      <w:r>
        <w:rPr>
          <w:b/>
          <w:bCs/>
          <w:color w:val="1F3864"/>
          <w:sz w:val="30"/>
          <w:szCs w:val="30"/>
        </w:rPr>
        <w:t xml:space="preserve">About this document</w:t>
      </w:r>
    </w:p>
    <w:p>
      <w:pPr>
        <w:spacing w:after="130" w:line="285"/>
      </w:pPr>
      <w:r>
        <w:rPr>
          <w:sz w:val="21"/>
          <w:szCs w:val="21"/>
        </w:rPr>
        <w:t xml:space="preserve">PracticeLab is a web application for training and assessing medical coders. It holds a library of de-identified clinical charts, distributes them to coders as graded assignments, scores their coded output against trainer-supplied answer keys, and runs multiple-choice assessments.</w:t>
      </w:r>
    </w:p>
    <w:p>
      <w:pPr>
        <w:spacing w:after="130" w:line="285"/>
      </w:pPr>
      <w:r>
        <w:rPr>
          <w:sz w:val="21"/>
          <w:szCs w:val="21"/>
        </w:rPr>
        <w:t xml:space="preserve">This specification describes where PracticeLab keeps its data and how to move it to another environment. It covers the database schema, the object storage that holds chart images, and a step-by-step migration procedure with verification.</w:t>
      </w:r>
    </w:p>
    <w:p>
      <w:pPr>
        <w:spacing w:after="130" w:line="285"/>
      </w:pPr>
      <w:r>
        <w:rPr>
          <w:sz w:val="21"/>
          <w:szCs w:val="21"/>
        </w:rPr>
        <w:t xml:space="preserve">It assumes no prior familiarity with the application. It does not cover application features, user workflows or the grading rules.</w:t>
      </w:r>
    </w:p>
    <w:p>
      <w:pPr>
        <w:pStyle w:val="Heading3"/>
        <w:spacing w:after="110" w:before="220"/>
      </w:pPr>
      <w:r>
        <w:rPr>
          <w:b/>
          <w:bCs/>
          <w:color w:val="2E75B6"/>
          <w:sz w:val="22"/>
          <w:szCs w:val="22"/>
        </w:rPr>
        <w:t xml:space="preserve">Contents</w:t>
      </w:r>
    </w:p>
    <w:p>
      <w:pPr>
        <w:spacing w:after="60" w:before="130"/>
        <w:ind w:left="0"/>
      </w:pPr>
      <w:r>
        <w:rPr>
          <w:b/>
          <w:bCs/>
          <w:color w:val="1F3864"/>
          <w:sz w:val="21"/>
          <w:szCs w:val="21"/>
        </w:rPr>
        <w:t xml:space="preserve">1.  </w:t>
      </w:r>
      <w:r>
        <w:rPr>
          <w:b/>
          <w:bCs/>
          <w:color w:val="1F3864"/>
          <w:sz w:val="21"/>
          <w:szCs w:val="21"/>
        </w:rPr>
        <w:t xml:space="preserve">System architecture</w:t>
      </w:r>
    </w:p>
    <w:p>
      <w:pPr>
        <w:spacing w:after="40" w:before="0"/>
        <w:ind w:left="400"/>
      </w:pPr>
      <w:r>
        <w:rPr>
          <w:b w:val="false"/>
          <w:bCs w:val="false"/>
          <w:color w:val="595959"/>
          <w:sz w:val="20"/>
          <w:szCs w:val="20"/>
        </w:rPr>
        <w:t xml:space="preserve">1.1  </w:t>
      </w:r>
      <w:r>
        <w:rPr>
          <w:b w:val="false"/>
          <w:bCs w:val="false"/>
          <w:color w:val="404040"/>
          <w:sz w:val="20"/>
          <w:szCs w:val="20"/>
        </w:rPr>
        <w:t xml:space="preserve">Components</w:t>
      </w:r>
    </w:p>
    <w:p>
      <w:pPr>
        <w:spacing w:after="40" w:before="0"/>
        <w:ind w:left="400"/>
      </w:pPr>
      <w:r>
        <w:rPr>
          <w:b w:val="false"/>
          <w:bCs w:val="false"/>
          <w:color w:val="595959"/>
          <w:sz w:val="20"/>
          <w:szCs w:val="20"/>
        </w:rPr>
        <w:t xml:space="preserve">1.2  </w:t>
      </w:r>
      <w:r>
        <w:rPr>
          <w:b w:val="false"/>
          <w:bCs w:val="false"/>
          <w:color w:val="404040"/>
          <w:sz w:val="20"/>
          <w:szCs w:val="20"/>
        </w:rPr>
        <w:t xml:space="preserve">What each component holds</w:t>
      </w:r>
    </w:p>
    <w:p>
      <w:pPr>
        <w:spacing w:after="60" w:before="130"/>
        <w:ind w:left="0"/>
      </w:pPr>
      <w:r>
        <w:rPr>
          <w:b/>
          <w:bCs/>
          <w:color w:val="1F3864"/>
          <w:sz w:val="21"/>
          <w:szCs w:val="21"/>
        </w:rPr>
        <w:t xml:space="preserve">2.  </w:t>
      </w:r>
      <w:r>
        <w:rPr>
          <w:b/>
          <w:bCs/>
          <w:color w:val="1F3864"/>
          <w:sz w:val="21"/>
          <w:szCs w:val="21"/>
        </w:rPr>
        <w:t xml:space="preserve">Data architecture</w:t>
      </w:r>
    </w:p>
    <w:p>
      <w:pPr>
        <w:spacing w:after="40" w:before="0"/>
        <w:ind w:left="400"/>
      </w:pPr>
      <w:r>
        <w:rPr>
          <w:b w:val="false"/>
          <w:bCs w:val="false"/>
          <w:color w:val="595959"/>
          <w:sz w:val="20"/>
          <w:szCs w:val="20"/>
        </w:rPr>
        <w:t xml:space="preserve">2.1  </w:t>
      </w:r>
      <w:r>
        <w:rPr>
          <w:b w:val="false"/>
          <w:bCs w:val="false"/>
          <w:color w:val="404040"/>
          <w:sz w:val="20"/>
          <w:szCs w:val="20"/>
        </w:rPr>
        <w:t xml:space="preserve">Charts: ingestion and retrieval</w:t>
      </w:r>
    </w:p>
    <w:p>
      <w:pPr>
        <w:spacing w:after="40" w:before="0"/>
        <w:ind w:left="400"/>
      </w:pPr>
      <w:r>
        <w:rPr>
          <w:b w:val="false"/>
          <w:bCs w:val="false"/>
          <w:color w:val="595959"/>
          <w:sz w:val="20"/>
          <w:szCs w:val="20"/>
        </w:rPr>
        <w:t xml:space="preserve">2.2  </w:t>
      </w:r>
      <w:r>
        <w:rPr>
          <w:b w:val="false"/>
          <w:bCs w:val="false"/>
          <w:color w:val="404040"/>
          <w:sz w:val="20"/>
          <w:szCs w:val="20"/>
        </w:rPr>
        <w:t xml:space="preserve">Spreadsheet inputs: answer keys and question banks</w:t>
      </w:r>
    </w:p>
    <w:p>
      <w:pPr>
        <w:spacing w:after="40" w:before="0"/>
        <w:ind w:left="400"/>
      </w:pPr>
      <w:r>
        <w:rPr>
          <w:b w:val="false"/>
          <w:bCs w:val="false"/>
          <w:color w:val="595959"/>
          <w:sz w:val="20"/>
          <w:szCs w:val="20"/>
        </w:rPr>
        <w:t xml:space="preserve">2.3  </w:t>
      </w:r>
      <w:r>
        <w:rPr>
          <w:b w:val="false"/>
          <w:bCs w:val="false"/>
          <w:color w:val="404040"/>
          <w:sz w:val="20"/>
          <w:szCs w:val="20"/>
        </w:rPr>
        <w:t xml:space="preserve">Schema map</w:t>
      </w:r>
    </w:p>
    <w:p>
      <w:pPr>
        <w:spacing w:after="60" w:before="130"/>
        <w:ind w:left="0"/>
      </w:pPr>
      <w:r>
        <w:rPr>
          <w:b/>
          <w:bCs/>
          <w:color w:val="1F3864"/>
          <w:sz w:val="21"/>
          <w:szCs w:val="21"/>
        </w:rPr>
        <w:t xml:space="preserve">3.  </w:t>
      </w:r>
      <w:r>
        <w:rPr>
          <w:b/>
          <w:bCs/>
          <w:color w:val="1F3864"/>
          <w:sz w:val="21"/>
          <w:szCs w:val="21"/>
        </w:rPr>
        <w:t xml:space="preserve">Object storage</w:t>
      </w:r>
    </w:p>
    <w:p>
      <w:pPr>
        <w:spacing w:after="40" w:before="0"/>
        <w:ind w:left="400"/>
      </w:pPr>
      <w:r>
        <w:rPr>
          <w:b w:val="false"/>
          <w:bCs w:val="false"/>
          <w:color w:val="595959"/>
          <w:sz w:val="20"/>
          <w:szCs w:val="20"/>
        </w:rPr>
        <w:t xml:space="preserve">3.1  </w:t>
      </w:r>
      <w:r>
        <w:rPr>
          <w:b w:val="false"/>
          <w:bCs w:val="false"/>
          <w:color w:val="404040"/>
          <w:sz w:val="20"/>
          <w:szCs w:val="20"/>
        </w:rPr>
        <w:t xml:space="preserve">Current implementation</w:t>
      </w:r>
    </w:p>
    <w:p>
      <w:pPr>
        <w:spacing w:after="40" w:before="0"/>
        <w:ind w:left="400"/>
      </w:pPr>
      <w:r>
        <w:rPr>
          <w:b w:val="false"/>
          <w:bCs w:val="false"/>
          <w:color w:val="595959"/>
          <w:sz w:val="20"/>
          <w:szCs w:val="20"/>
        </w:rPr>
        <w:t xml:space="preserve">3.2  </w:t>
      </w:r>
      <w:r>
        <w:rPr>
          <w:b w:val="false"/>
          <w:bCs w:val="false"/>
          <w:color w:val="404040"/>
          <w:sz w:val="20"/>
          <w:szCs w:val="20"/>
        </w:rPr>
        <w:t xml:space="preserve">Requirements of a storage backend</w:t>
      </w:r>
    </w:p>
    <w:p>
      <w:pPr>
        <w:spacing w:after="40" w:before="0"/>
        <w:ind w:left="400"/>
      </w:pPr>
      <w:r>
        <w:rPr>
          <w:b w:val="false"/>
          <w:bCs w:val="false"/>
          <w:color w:val="595959"/>
          <w:sz w:val="20"/>
          <w:szCs w:val="20"/>
        </w:rPr>
        <w:t xml:space="preserve">3.3  </w:t>
      </w:r>
      <w:r>
        <w:rPr>
          <w:b w:val="false"/>
          <w:bCs w:val="false"/>
          <w:color w:val="404040"/>
          <w:sz w:val="20"/>
          <w:szCs w:val="20"/>
        </w:rPr>
        <w:t xml:space="preserve">Migration options by effort</w:t>
      </w:r>
    </w:p>
    <w:p>
      <w:pPr>
        <w:spacing w:after="60" w:before="130"/>
        <w:ind w:left="0"/>
      </w:pPr>
      <w:r>
        <w:rPr>
          <w:b/>
          <w:bCs/>
          <w:color w:val="1F3864"/>
          <w:sz w:val="21"/>
          <w:szCs w:val="21"/>
        </w:rPr>
        <w:t xml:space="preserve">4.  </w:t>
      </w:r>
      <w:r>
        <w:rPr>
          <w:b/>
          <w:bCs/>
          <w:color w:val="1F3864"/>
          <w:sz w:val="21"/>
          <w:szCs w:val="21"/>
        </w:rPr>
        <w:t xml:space="preserve">Migration procedure</w:t>
      </w:r>
    </w:p>
    <w:p>
      <w:pPr>
        <w:spacing w:after="40" w:before="0"/>
        <w:ind w:left="400"/>
      </w:pPr>
      <w:r>
        <w:rPr>
          <w:b w:val="false"/>
          <w:bCs w:val="false"/>
          <w:color w:val="595959"/>
          <w:sz w:val="20"/>
          <w:szCs w:val="20"/>
        </w:rPr>
        <w:t xml:space="preserve">4.1  </w:t>
      </w:r>
      <w:r>
        <w:rPr>
          <w:b w:val="false"/>
          <w:bCs w:val="false"/>
          <w:color w:val="404040"/>
          <w:sz w:val="20"/>
          <w:szCs w:val="20"/>
        </w:rPr>
        <w:t xml:space="preserve">Schema provisioning</w:t>
      </w:r>
    </w:p>
    <w:p>
      <w:pPr>
        <w:spacing w:after="40" w:before="0"/>
        <w:ind w:left="400"/>
      </w:pPr>
      <w:r>
        <w:rPr>
          <w:b w:val="false"/>
          <w:bCs w:val="false"/>
          <w:color w:val="595959"/>
          <w:sz w:val="20"/>
          <w:szCs w:val="20"/>
        </w:rPr>
        <w:t xml:space="preserve">4.2  </w:t>
      </w:r>
      <w:r>
        <w:rPr>
          <w:b w:val="false"/>
          <w:bCs w:val="false"/>
          <w:color w:val="404040"/>
          <w:sz w:val="20"/>
          <w:szCs w:val="20"/>
        </w:rPr>
        <w:t xml:space="preserve">Environment configuration</w:t>
      </w:r>
    </w:p>
    <w:p>
      <w:pPr>
        <w:spacing w:after="40" w:before="0"/>
        <w:ind w:left="400"/>
      </w:pPr>
      <w:r>
        <w:rPr>
          <w:b w:val="false"/>
          <w:bCs w:val="false"/>
          <w:color w:val="595959"/>
          <w:sz w:val="20"/>
          <w:szCs w:val="20"/>
        </w:rPr>
        <w:t xml:space="preserve">4.3  </w:t>
      </w:r>
      <w:r>
        <w:rPr>
          <w:b w:val="false"/>
          <w:bCs w:val="false"/>
          <w:color w:val="404040"/>
          <w:sz w:val="20"/>
          <w:szCs w:val="20"/>
        </w:rPr>
        <w:t xml:space="preserve">Sequence of operations</w:t>
      </w:r>
    </w:p>
    <w:p>
      <w:pPr>
        <w:spacing w:after="40" w:before="0"/>
        <w:ind w:left="400"/>
      </w:pPr>
      <w:r>
        <w:rPr>
          <w:b w:val="false"/>
          <w:bCs w:val="false"/>
          <w:color w:val="595959"/>
          <w:sz w:val="20"/>
          <w:szCs w:val="20"/>
        </w:rPr>
        <w:t xml:space="preserve">4.4  </w:t>
      </w:r>
      <w:r>
        <w:rPr>
          <w:b w:val="false"/>
          <w:bCs w:val="false"/>
          <w:color w:val="404040"/>
          <w:sz w:val="20"/>
          <w:szCs w:val="20"/>
        </w:rPr>
        <w:t xml:space="preserve">Database dump and restore</w:t>
      </w:r>
    </w:p>
    <w:p>
      <w:pPr>
        <w:spacing w:after="40" w:before="0"/>
        <w:ind w:left="400"/>
      </w:pPr>
      <w:r>
        <w:rPr>
          <w:b w:val="false"/>
          <w:bCs w:val="false"/>
          <w:color w:val="595959"/>
          <w:sz w:val="20"/>
          <w:szCs w:val="20"/>
        </w:rPr>
        <w:t xml:space="preserve">4.5  </w:t>
      </w:r>
      <w:r>
        <w:rPr>
          <w:b w:val="false"/>
          <w:bCs w:val="false"/>
          <w:color w:val="404040"/>
          <w:sz w:val="20"/>
          <w:szCs w:val="20"/>
        </w:rPr>
        <w:t xml:space="preserve">Storage transfer</w:t>
      </w:r>
    </w:p>
    <w:p>
      <w:pPr>
        <w:spacing w:after="40" w:before="0"/>
        <w:ind w:left="400"/>
      </w:pPr>
      <w:r>
        <w:rPr>
          <w:b w:val="false"/>
          <w:bCs w:val="false"/>
          <w:color w:val="595959"/>
          <w:sz w:val="20"/>
          <w:szCs w:val="20"/>
        </w:rPr>
        <w:t xml:space="preserve">4.6  </w:t>
      </w:r>
      <w:r>
        <w:rPr>
          <w:b w:val="false"/>
          <w:bCs w:val="false"/>
          <w:color w:val="404040"/>
          <w:sz w:val="20"/>
          <w:szCs w:val="20"/>
        </w:rPr>
        <w:t xml:space="preserve">Application first start</w:t>
      </w:r>
    </w:p>
    <w:p>
      <w:pPr>
        <w:spacing w:after="60" w:before="130"/>
        <w:ind w:left="0"/>
      </w:pPr>
      <w:r>
        <w:rPr>
          <w:b/>
          <w:bCs/>
          <w:color w:val="1F3864"/>
          <w:sz w:val="21"/>
          <w:szCs w:val="21"/>
        </w:rPr>
        <w:t xml:space="preserve">5.  </w:t>
      </w:r>
      <w:r>
        <w:rPr>
          <w:b/>
          <w:bCs/>
          <w:color w:val="1F3864"/>
          <w:sz w:val="21"/>
          <w:szCs w:val="21"/>
        </w:rPr>
        <w:t xml:space="preserve">Verification</w:t>
      </w:r>
    </w:p>
    <w:p>
      <w:pPr>
        <w:spacing w:after="60" w:before="130"/>
        <w:ind w:left="0"/>
      </w:pPr>
      <w:r>
        <w:rPr>
          <w:b/>
          <w:bCs/>
          <w:color w:val="1F3864"/>
          <w:sz w:val="21"/>
          <w:szCs w:val="21"/>
        </w:rPr>
        <w:t xml:space="preserve">6.  </w:t>
      </w:r>
      <w:r>
        <w:rPr>
          <w:b/>
          <w:bCs/>
          <w:color w:val="1F3864"/>
          <w:sz w:val="21"/>
          <w:szCs w:val="21"/>
        </w:rPr>
        <w:t xml:space="preserve">Operational notes</w:t>
      </w:r>
    </w:p>
    <w:p>
      <w:pPr>
        <w:spacing w:after="60" w:before="130"/>
        <w:ind w:left="0"/>
      </w:pPr>
      <w:r>
        <w:rPr>
          <w:b/>
          <w:bCs/>
          <w:color w:val="1F3864"/>
          <w:sz w:val="21"/>
          <w:szCs w:val="21"/>
        </w:rPr>
        <w:t xml:space="preserve">7.  </w:t>
      </w:r>
      <w:r>
        <w:rPr>
          <w:b/>
          <w:bCs/>
          <w:color w:val="1F3864"/>
          <w:sz w:val="21"/>
          <w:szCs w:val="21"/>
        </w:rPr>
        <w:t xml:space="preserve">Decisions required</w:t>
      </w:r>
    </w:p>
    <w:p>
      <w:r>
        <w:br w:type="page"/>
      </w:r>
    </w:p>
    <w:p>
      <w:pPr>
        <w:pStyle w:val="Heading1"/>
        <w:spacing w:after="170" w:before="400"/>
      </w:pPr>
      <w:r>
        <w:rPr>
          <w:b/>
          <w:bCs/>
          <w:color w:val="1F3864"/>
          <w:sz w:val="30"/>
          <w:szCs w:val="30"/>
        </w:rPr>
        <w:t xml:space="preserve">1. System architecture</w:t>
      </w:r>
    </w:p>
    <w:p>
      <w:pPr>
        <w:spacing w:after="90" w:before="200"/>
        <w:jc w:val="center"/>
      </w:pPr>
      <w:r>
        <w:drawing>
          <wp:inline distT="0" distB="0" distL="0" distR="0">
            <wp:extent cx="590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429000"/>
                    </a:xfrm>
                    <a:prstGeom prst="rect">
                      <a:avLst/>
                    </a:prstGeom>
                  </pic:spPr>
                </pic:pic>
              </a:graphicData>
            </a:graphic>
          </wp:inline>
        </w:drawing>
      </w:r>
    </w:p>
    <w:p>
      <w:pPr>
        <w:spacing w:after="220"/>
        <w:jc w:val="center"/>
      </w:pPr>
      <w:r>
        <w:rPr>
          <w:i/>
          <w:iCs/>
          <w:color w:val="595959"/>
          <w:sz w:val="18"/>
          <w:szCs w:val="18"/>
        </w:rPr>
        <w:t xml:space="preserve">Figure 1 — Component topology and data paths</w:t>
      </w:r>
    </w:p>
    <w:p>
      <w:pPr>
        <w:pStyle w:val="Heading2"/>
        <w:spacing w:after="130" w:before="300"/>
      </w:pPr>
      <w:r>
        <w:rPr>
          <w:b/>
          <w:bCs/>
          <w:color w:val="1F3864"/>
          <w:sz w:val="24"/>
          <w:szCs w:val="24"/>
        </w:rPr>
        <w:t xml:space="preserve">1.1 Components</w:t>
      </w:r>
    </w:p>
    <w:p>
      <w:pPr>
        <w:spacing w:after="130" w:line="285"/>
      </w:pPr>
      <w:r>
        <w:rPr>
          <w:sz w:val="21"/>
          <w:szCs w:val="21"/>
        </w:rPr>
        <w:t xml:space="preserve">PracticeLab comprises four components. Two execute code and hold no persistent state; two hold data and execute none.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300"/>
        <w:gridCol w:w="2900"/>
        <w:gridCol w:w="2280"/>
        <w:gridCol w:w="1880"/>
      </w:tblGrid>
      <w:tr>
        <w:trPr>
          <w:tblHeader/>
        </w:trPr>
        <w:tc>
          <w:tcPr>
            <w:tcW w:type="dxa" w:w="2300"/>
            <w:shd w:fill="DCE6F1" w:val="clear"/>
            <w:tcMar>
              <w:top w:type="dxa" w:w="95"/>
              <w:left w:type="dxa" w:w="135"/>
              <w:bottom w:type="dxa" w:w="95"/>
              <w:right w:type="dxa" w:w="135"/>
            </w:tcMar>
          </w:tcPr>
          <w:p>
            <w:r>
              <w:rPr>
                <w:b/>
                <w:bCs/>
                <w:color w:val="1F3864"/>
                <w:sz w:val="20"/>
                <w:szCs w:val="20"/>
              </w:rPr>
              <w:t xml:space="preserve">Component</w:t>
            </w:r>
          </w:p>
        </w:tc>
        <w:tc>
          <w:tcPr>
            <w:tcW w:type="dxa" w:w="2900"/>
            <w:shd w:fill="DCE6F1" w:val="clear"/>
            <w:tcMar>
              <w:top w:type="dxa" w:w="95"/>
              <w:left w:type="dxa" w:w="135"/>
              <w:bottom w:type="dxa" w:w="95"/>
              <w:right w:type="dxa" w:w="135"/>
            </w:tcMar>
          </w:tcPr>
          <w:p>
            <w:r>
              <w:rPr>
                <w:b/>
                <w:bCs/>
                <w:color w:val="1F3864"/>
                <w:sz w:val="20"/>
                <w:szCs w:val="20"/>
              </w:rPr>
              <w:t xml:space="preserve">Technology</w:t>
            </w:r>
          </w:p>
        </w:tc>
        <w:tc>
          <w:tcPr>
            <w:tcW w:type="dxa" w:w="2280"/>
            <w:shd w:fill="DCE6F1" w:val="clear"/>
            <w:tcMar>
              <w:top w:type="dxa" w:w="95"/>
              <w:left w:type="dxa" w:w="135"/>
              <w:bottom w:type="dxa" w:w="95"/>
              <w:right w:type="dxa" w:w="135"/>
            </w:tcMar>
          </w:tcPr>
          <w:p>
            <w:r>
              <w:rPr>
                <w:b/>
                <w:bCs/>
                <w:color w:val="1F3864"/>
                <w:sz w:val="20"/>
                <w:szCs w:val="20"/>
              </w:rPr>
              <w:t xml:space="preserve">Executes code</w:t>
            </w:r>
          </w:p>
        </w:tc>
        <w:tc>
          <w:tcPr>
            <w:tcW w:type="dxa" w:w="1880"/>
            <w:shd w:fill="DCE6F1" w:val="clear"/>
            <w:tcMar>
              <w:top w:type="dxa" w:w="95"/>
              <w:left w:type="dxa" w:w="135"/>
              <w:bottom w:type="dxa" w:w="95"/>
              <w:right w:type="dxa" w:w="135"/>
            </w:tcMar>
          </w:tcPr>
          <w:p>
            <w:r>
              <w:rPr>
                <w:b/>
                <w:bCs/>
                <w:color w:val="1F3864"/>
                <w:sz w:val="20"/>
                <w:szCs w:val="20"/>
              </w:rPr>
              <w:t xml:space="preserve">Holds data</w:t>
            </w:r>
          </w:p>
        </w:tc>
      </w:tr>
      <w:tr>
        <w:tc>
          <w:tcPr>
            <w:tcW w:type="dxa" w:w="2300"/>
            <w:tcMar>
              <w:top w:type="dxa" w:w="95"/>
              <w:left w:type="dxa" w:w="135"/>
              <w:bottom w:type="dxa" w:w="95"/>
              <w:right w:type="dxa" w:w="135"/>
            </w:tcMar>
          </w:tcPr>
          <w:p>
            <w:r>
              <w:rPr>
                <w:sz w:val="20"/>
                <w:szCs w:val="20"/>
              </w:rPr>
              <w:t xml:space="preserve">Front end</w:t>
            </w:r>
          </w:p>
        </w:tc>
        <w:tc>
          <w:tcPr>
            <w:tcW w:type="dxa" w:w="2900"/>
            <w:tcMar>
              <w:top w:type="dxa" w:w="95"/>
              <w:left w:type="dxa" w:w="135"/>
              <w:bottom w:type="dxa" w:w="95"/>
              <w:right w:type="dxa" w:w="135"/>
            </w:tcMar>
          </w:tcPr>
          <w:p>
            <w:r>
              <w:rPr>
                <w:sz w:val="20"/>
                <w:szCs w:val="20"/>
              </w:rPr>
              <w:t xml:space="preserve">React static site</w:t>
            </w:r>
          </w:p>
        </w:tc>
        <w:tc>
          <w:tcPr>
            <w:tcW w:type="dxa" w:w="2280"/>
            <w:tcMar>
              <w:top w:type="dxa" w:w="95"/>
              <w:left w:type="dxa" w:w="135"/>
              <w:bottom w:type="dxa" w:w="95"/>
              <w:right w:type="dxa" w:w="135"/>
            </w:tcMar>
          </w:tcPr>
          <w:p>
            <w:r>
              <w:rPr>
                <w:sz w:val="20"/>
                <w:szCs w:val="20"/>
              </w:rPr>
              <w:t xml:space="preserve">In the browser only</w:t>
            </w:r>
          </w:p>
        </w:tc>
        <w:tc>
          <w:tcPr>
            <w:tcW w:type="dxa" w:w="1880"/>
            <w:tcMar>
              <w:top w:type="dxa" w:w="95"/>
              <w:left w:type="dxa" w:w="135"/>
              <w:bottom w:type="dxa" w:w="95"/>
              <w:right w:type="dxa" w:w="135"/>
            </w:tcMar>
          </w:tcPr>
          <w:p>
            <w:r>
              <w:rPr>
                <w:sz w:val="20"/>
                <w:szCs w:val="20"/>
              </w:rPr>
              <w:t xml:space="preserve">No</w:t>
            </w:r>
          </w:p>
        </w:tc>
      </w:tr>
      <w:tr>
        <w:tc>
          <w:tcPr>
            <w:tcW w:type="dxa" w:w="2300"/>
            <w:tcMar>
              <w:top w:type="dxa" w:w="95"/>
              <w:left w:type="dxa" w:w="135"/>
              <w:bottom w:type="dxa" w:w="95"/>
              <w:right w:type="dxa" w:w="135"/>
            </w:tcMar>
          </w:tcPr>
          <w:p>
            <w:r>
              <w:rPr>
                <w:sz w:val="20"/>
                <w:szCs w:val="20"/>
              </w:rPr>
              <w:t xml:space="preserve">Backend API</w:t>
            </w:r>
          </w:p>
        </w:tc>
        <w:tc>
          <w:tcPr>
            <w:tcW w:type="dxa" w:w="2900"/>
            <w:tcMar>
              <w:top w:type="dxa" w:w="95"/>
              <w:left w:type="dxa" w:w="135"/>
              <w:bottom w:type="dxa" w:w="95"/>
              <w:right w:type="dxa" w:w="135"/>
            </w:tcMar>
          </w:tcPr>
          <w:p>
            <w:r>
              <w:rPr>
                <w:sz w:val="20"/>
                <w:szCs w:val="20"/>
              </w:rPr>
              <w:t xml:space="preserve">FastAPI, Python 3.11</w:t>
            </w:r>
          </w:p>
        </w:tc>
        <w:tc>
          <w:tcPr>
            <w:tcW w:type="dxa" w:w="2280"/>
            <w:tcMar>
              <w:top w:type="dxa" w:w="95"/>
              <w:left w:type="dxa" w:w="135"/>
              <w:bottom w:type="dxa" w:w="95"/>
              <w:right w:type="dxa" w:w="135"/>
            </w:tcMar>
          </w:tcPr>
          <w:p>
            <w:r>
              <w:rPr>
                <w:sz w:val="20"/>
                <w:szCs w:val="20"/>
              </w:rPr>
              <w:t xml:space="preserve">Yes — all application logic</w:t>
            </w:r>
          </w:p>
        </w:tc>
        <w:tc>
          <w:tcPr>
            <w:tcW w:type="dxa" w:w="1880"/>
            <w:tcMar>
              <w:top w:type="dxa" w:w="95"/>
              <w:left w:type="dxa" w:w="135"/>
              <w:bottom w:type="dxa" w:w="95"/>
              <w:right w:type="dxa" w:w="135"/>
            </w:tcMar>
          </w:tcPr>
          <w:p>
            <w:r>
              <w:rPr>
                <w:sz w:val="20"/>
                <w:szCs w:val="20"/>
              </w:rPr>
              <w:t xml:space="preserve">No</w:t>
            </w:r>
          </w:p>
        </w:tc>
      </w:tr>
      <w:tr>
        <w:tc>
          <w:tcPr>
            <w:tcW w:type="dxa" w:w="2300"/>
            <w:tcMar>
              <w:top w:type="dxa" w:w="95"/>
              <w:left w:type="dxa" w:w="135"/>
              <w:bottom w:type="dxa" w:w="95"/>
              <w:right w:type="dxa" w:w="135"/>
            </w:tcMar>
          </w:tcPr>
          <w:p>
            <w:r>
              <w:rPr>
                <w:sz w:val="20"/>
                <w:szCs w:val="20"/>
              </w:rPr>
              <w:t xml:space="preserve">Relational database</w:t>
            </w:r>
          </w:p>
        </w:tc>
        <w:tc>
          <w:tcPr>
            <w:tcW w:type="dxa" w:w="2900"/>
            <w:tcMar>
              <w:top w:type="dxa" w:w="95"/>
              <w:left w:type="dxa" w:w="135"/>
              <w:bottom w:type="dxa" w:w="95"/>
              <w:right w:type="dxa" w:w="135"/>
            </w:tcMar>
          </w:tcPr>
          <w:p>
            <w:r>
              <w:rPr>
                <w:sz w:val="20"/>
                <w:szCs w:val="20"/>
              </w:rPr>
              <w:t xml:space="preserve">PostgreSQL</w:t>
            </w:r>
          </w:p>
        </w:tc>
        <w:tc>
          <w:tcPr>
            <w:tcW w:type="dxa" w:w="2280"/>
            <w:tcMar>
              <w:top w:type="dxa" w:w="95"/>
              <w:left w:type="dxa" w:w="135"/>
              <w:bottom w:type="dxa" w:w="95"/>
              <w:right w:type="dxa" w:w="135"/>
            </w:tcMar>
          </w:tcPr>
          <w:p>
            <w:r>
              <w:rPr>
                <w:sz w:val="20"/>
                <w:szCs w:val="20"/>
              </w:rPr>
              <w:t xml:space="preserve">No</w:t>
            </w:r>
          </w:p>
        </w:tc>
        <w:tc>
          <w:tcPr>
            <w:tcW w:type="dxa" w:w="1880"/>
            <w:tcMar>
              <w:top w:type="dxa" w:w="95"/>
              <w:left w:type="dxa" w:w="135"/>
              <w:bottom w:type="dxa" w:w="95"/>
              <w:right w:type="dxa" w:w="135"/>
            </w:tcMar>
          </w:tcPr>
          <w:p>
            <w:r>
              <w:rPr>
                <w:sz w:val="20"/>
                <w:szCs w:val="20"/>
              </w:rPr>
              <w:t xml:space="preserve">Yes — 32 tables</w:t>
            </w:r>
          </w:p>
        </w:tc>
      </w:tr>
      <w:tr>
        <w:tc>
          <w:tcPr>
            <w:tcW w:type="dxa" w:w="2300"/>
            <w:tcMar>
              <w:top w:type="dxa" w:w="95"/>
              <w:left w:type="dxa" w:w="135"/>
              <w:bottom w:type="dxa" w:w="95"/>
              <w:right w:type="dxa" w:w="135"/>
            </w:tcMar>
          </w:tcPr>
          <w:p>
            <w:r>
              <w:rPr>
                <w:sz w:val="20"/>
                <w:szCs w:val="20"/>
              </w:rPr>
              <w:t xml:space="preserve">Object storage</w:t>
            </w:r>
          </w:p>
        </w:tc>
        <w:tc>
          <w:tcPr>
            <w:tcW w:type="dxa" w:w="2900"/>
            <w:tcMar>
              <w:top w:type="dxa" w:w="95"/>
              <w:left w:type="dxa" w:w="135"/>
              <w:bottom w:type="dxa" w:w="95"/>
              <w:right w:type="dxa" w:w="135"/>
            </w:tcMar>
          </w:tcPr>
          <w:p>
            <w:r>
              <w:rPr>
                <w:sz w:val="20"/>
                <w:szCs w:val="20"/>
              </w:rPr>
              <w:t xml:space="preserve">S3-compatible bucket</w:t>
            </w:r>
          </w:p>
        </w:tc>
        <w:tc>
          <w:tcPr>
            <w:tcW w:type="dxa" w:w="2280"/>
            <w:tcMar>
              <w:top w:type="dxa" w:w="95"/>
              <w:left w:type="dxa" w:w="135"/>
              <w:bottom w:type="dxa" w:w="95"/>
              <w:right w:type="dxa" w:w="135"/>
            </w:tcMar>
          </w:tcPr>
          <w:p>
            <w:r>
              <w:rPr>
                <w:sz w:val="20"/>
                <w:szCs w:val="20"/>
              </w:rPr>
              <w:t xml:space="preserve">No</w:t>
            </w:r>
          </w:p>
        </w:tc>
        <w:tc>
          <w:tcPr>
            <w:tcW w:type="dxa" w:w="1880"/>
            <w:tcMar>
              <w:top w:type="dxa" w:w="95"/>
              <w:left w:type="dxa" w:w="135"/>
              <w:bottom w:type="dxa" w:w="95"/>
              <w:right w:type="dxa" w:w="135"/>
            </w:tcMar>
          </w:tcPr>
          <w:p>
            <w:r>
              <w:rPr>
                <w:sz w:val="20"/>
                <w:szCs w:val="20"/>
              </w:rPr>
              <w:t xml:space="preserve">Yes — chart page images</w:t>
            </w:r>
          </w:p>
        </w:tc>
      </w:tr>
    </w:tbl>
    <w:p>
      <w:pPr>
        <w:spacing w:after="130" w:line="285"/>
      </w:pPr>
      <w:r>
        <w:rPr>
          <w:sz w:val="21"/>
          <w:szCs w:val="21"/>
        </w:rPr>
        <w:t xml:space="preserve">The front end contains no business logic. It renders views and calls the backend for every piece of data, including chart images. The backend is the only component that connects to either data store, and the only one holding credentials.</w:t>
      </w:r>
    </w:p>
    <w:p>
      <w:pPr>
        <w:pStyle w:val="Heading2"/>
        <w:spacing w:after="130" w:before="300"/>
      </w:pPr>
      <w:r>
        <w:rPr>
          <w:b/>
          <w:bCs/>
          <w:color w:val="1F3864"/>
          <w:sz w:val="24"/>
          <w:szCs w:val="24"/>
        </w:rPr>
        <w:t xml:space="preserve">1.2 What each component holds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000"/>
        <w:gridCol w:w="2600"/>
        <w:gridCol w:w="2200"/>
        <w:gridCol w:w="2560"/>
      </w:tblGrid>
      <w:tr>
        <w:trPr>
          <w:tblHeader/>
        </w:trPr>
        <w:tc>
          <w:tcPr>
            <w:tcW w:type="dxa" w:w="2000"/>
            <w:shd w:fill="DCE6F1" w:val="clear"/>
            <w:tcMar>
              <w:top w:type="dxa" w:w="95"/>
              <w:left w:type="dxa" w:w="135"/>
              <w:bottom w:type="dxa" w:w="95"/>
              <w:right w:type="dxa" w:w="135"/>
            </w:tcMar>
          </w:tcPr>
          <w:p>
            <w:r>
              <w:rPr>
                <w:b/>
                <w:bCs/>
                <w:color w:val="1F3864"/>
                <w:sz w:val="20"/>
                <w:szCs w:val="20"/>
              </w:rPr>
              <w:t xml:space="preserve">Component</w:t>
            </w:r>
          </w:p>
        </w:tc>
        <w:tc>
          <w:tcPr>
            <w:tcW w:type="dxa" w:w="2600"/>
            <w:shd w:fill="DCE6F1" w:val="clear"/>
            <w:tcMar>
              <w:top w:type="dxa" w:w="95"/>
              <w:left w:type="dxa" w:w="135"/>
              <w:bottom w:type="dxa" w:w="95"/>
              <w:right w:type="dxa" w:w="135"/>
            </w:tcMar>
          </w:tcPr>
          <w:p>
            <w:r>
              <w:rPr>
                <w:b/>
                <w:bCs/>
                <w:color w:val="1F3864"/>
                <w:sz w:val="20"/>
                <w:szCs w:val="20"/>
              </w:rPr>
              <w:t xml:space="preserve">Persistent state</w:t>
            </w:r>
          </w:p>
        </w:tc>
        <w:tc>
          <w:tcPr>
            <w:tcW w:type="dxa" w:w="2200"/>
            <w:shd w:fill="DCE6F1" w:val="clear"/>
            <w:tcMar>
              <w:top w:type="dxa" w:w="95"/>
              <w:left w:type="dxa" w:w="135"/>
              <w:bottom w:type="dxa" w:w="95"/>
              <w:right w:type="dxa" w:w="135"/>
            </w:tcMar>
          </w:tcPr>
          <w:p>
            <w:r>
              <w:rPr>
                <w:b/>
                <w:bCs/>
                <w:color w:val="1F3864"/>
                <w:sz w:val="20"/>
                <w:szCs w:val="20"/>
              </w:rPr>
              <w:t xml:space="preserve">Rebuilt from</w:t>
            </w:r>
          </w:p>
        </w:tc>
        <w:tc>
          <w:tcPr>
            <w:tcW w:type="dxa" w:w="2560"/>
            <w:shd w:fill="DCE6F1" w:val="clear"/>
            <w:tcMar>
              <w:top w:type="dxa" w:w="95"/>
              <w:left w:type="dxa" w:w="135"/>
              <w:bottom w:type="dxa" w:w="95"/>
              <w:right w:type="dxa" w:w="135"/>
            </w:tcMar>
          </w:tcPr>
          <w:p>
            <w:r>
              <w:rPr>
                <w:b/>
                <w:bCs/>
                <w:color w:val="1F3864"/>
                <w:sz w:val="20"/>
                <w:szCs w:val="20"/>
              </w:rPr>
              <w:t xml:space="preserve">Migration action</w:t>
            </w:r>
          </w:p>
        </w:tc>
      </w:tr>
      <w:tr>
        <w:tc>
          <w:tcPr>
            <w:tcW w:type="dxa" w:w="2000"/>
            <w:tcMar>
              <w:top w:type="dxa" w:w="95"/>
              <w:left w:type="dxa" w:w="135"/>
              <w:bottom w:type="dxa" w:w="95"/>
              <w:right w:type="dxa" w:w="135"/>
            </w:tcMar>
          </w:tcPr>
          <w:p>
            <w:r>
              <w:rPr>
                <w:sz w:val="20"/>
                <w:szCs w:val="20"/>
              </w:rPr>
              <w:t xml:space="preserve">Front end</w:t>
            </w:r>
          </w:p>
        </w:tc>
        <w:tc>
          <w:tcPr>
            <w:tcW w:type="dxa" w:w="2600"/>
            <w:tcMar>
              <w:top w:type="dxa" w:w="95"/>
              <w:left w:type="dxa" w:w="135"/>
              <w:bottom w:type="dxa" w:w="95"/>
              <w:right w:type="dxa" w:w="135"/>
            </w:tcMar>
          </w:tcPr>
          <w:p>
            <w:r>
              <w:rPr>
                <w:sz w:val="20"/>
                <w:szCs w:val="20"/>
              </w:rPr>
              <w:t xml:space="preserve">None</w:t>
            </w:r>
          </w:p>
        </w:tc>
        <w:tc>
          <w:tcPr>
            <w:tcW w:type="dxa" w:w="2200"/>
            <w:tcMar>
              <w:top w:type="dxa" w:w="95"/>
              <w:left w:type="dxa" w:w="135"/>
              <w:bottom w:type="dxa" w:w="95"/>
              <w:right w:type="dxa" w:w="135"/>
            </w:tcMar>
          </w:tcPr>
          <w:p>
            <w:r>
              <w:rPr>
                <w:sz w:val="20"/>
                <w:szCs w:val="20"/>
              </w:rPr>
              <w:t xml:space="preserve">Source repository</w:t>
            </w:r>
          </w:p>
        </w:tc>
        <w:tc>
          <w:tcPr>
            <w:tcW w:type="dxa" w:w="2560"/>
            <w:tcMar>
              <w:top w:type="dxa" w:w="95"/>
              <w:left w:type="dxa" w:w="135"/>
              <w:bottom w:type="dxa" w:w="95"/>
              <w:right w:type="dxa" w:w="135"/>
            </w:tcMar>
          </w:tcPr>
          <w:p>
            <w:r>
              <w:rPr>
                <w:sz w:val="20"/>
                <w:szCs w:val="20"/>
              </w:rPr>
              <w:t xml:space="preserve">Redeploy</w:t>
            </w:r>
          </w:p>
        </w:tc>
      </w:tr>
      <w:tr>
        <w:tc>
          <w:tcPr>
            <w:tcW w:type="dxa" w:w="2000"/>
            <w:tcMar>
              <w:top w:type="dxa" w:w="95"/>
              <w:left w:type="dxa" w:w="135"/>
              <w:bottom w:type="dxa" w:w="95"/>
              <w:right w:type="dxa" w:w="135"/>
            </w:tcMar>
          </w:tcPr>
          <w:p>
            <w:r>
              <w:rPr>
                <w:sz w:val="20"/>
                <w:szCs w:val="20"/>
              </w:rPr>
              <w:t xml:space="preserve">Backend API</w:t>
            </w:r>
          </w:p>
        </w:tc>
        <w:tc>
          <w:tcPr>
            <w:tcW w:type="dxa" w:w="2600"/>
            <w:tcMar>
              <w:top w:type="dxa" w:w="95"/>
              <w:left w:type="dxa" w:w="135"/>
              <w:bottom w:type="dxa" w:w="95"/>
              <w:right w:type="dxa" w:w="135"/>
            </w:tcMar>
          </w:tcPr>
          <w:p>
            <w:r>
              <w:rPr>
                <w:sz w:val="20"/>
                <w:szCs w:val="20"/>
              </w:rPr>
              <w:t xml:space="preserve">None</w:t>
            </w:r>
          </w:p>
        </w:tc>
        <w:tc>
          <w:tcPr>
            <w:tcW w:type="dxa" w:w="2200"/>
            <w:tcMar>
              <w:top w:type="dxa" w:w="95"/>
              <w:left w:type="dxa" w:w="135"/>
              <w:bottom w:type="dxa" w:w="95"/>
              <w:right w:type="dxa" w:w="135"/>
            </w:tcMar>
          </w:tcPr>
          <w:p>
            <w:r>
              <w:rPr>
                <w:sz w:val="20"/>
                <w:szCs w:val="20"/>
              </w:rPr>
              <w:t xml:space="preserve">Source repository</w:t>
            </w:r>
          </w:p>
        </w:tc>
        <w:tc>
          <w:tcPr>
            <w:tcW w:type="dxa" w:w="2560"/>
            <w:tcMar>
              <w:top w:type="dxa" w:w="95"/>
              <w:left w:type="dxa" w:w="135"/>
              <w:bottom w:type="dxa" w:w="95"/>
              <w:right w:type="dxa" w:w="135"/>
            </w:tcMar>
          </w:tcPr>
          <w:p>
            <w:r>
              <w:rPr>
                <w:sz w:val="20"/>
                <w:szCs w:val="20"/>
              </w:rPr>
              <w:t xml:space="preserve">Redeploy</w:t>
            </w:r>
          </w:p>
        </w:tc>
      </w:tr>
      <w:tr>
        <w:tc>
          <w:tcPr>
            <w:tcW w:type="dxa" w:w="2000"/>
            <w:tcMar>
              <w:top w:type="dxa" w:w="95"/>
              <w:left w:type="dxa" w:w="135"/>
              <w:bottom w:type="dxa" w:w="95"/>
              <w:right w:type="dxa" w:w="135"/>
            </w:tcMar>
          </w:tcPr>
          <w:p>
            <w:r>
              <w:rPr>
                <w:sz w:val="20"/>
                <w:szCs w:val="20"/>
              </w:rPr>
              <w:t xml:space="preserve">Database</w:t>
            </w:r>
          </w:p>
        </w:tc>
        <w:tc>
          <w:tcPr>
            <w:tcW w:type="dxa" w:w="2600"/>
            <w:tcMar>
              <w:top w:type="dxa" w:w="95"/>
              <w:left w:type="dxa" w:w="135"/>
              <w:bottom w:type="dxa" w:w="95"/>
              <w:right w:type="dxa" w:w="135"/>
            </w:tcMar>
          </w:tcPr>
          <w:p>
            <w:r>
              <w:rPr>
                <w:sz w:val="20"/>
                <w:szCs w:val="20"/>
              </w:rPr>
              <w:t xml:space="preserve">All application records</w:t>
            </w:r>
          </w:p>
        </w:tc>
        <w:tc>
          <w:tcPr>
            <w:tcW w:type="dxa" w:w="2200"/>
            <w:tcMar>
              <w:top w:type="dxa" w:w="95"/>
              <w:left w:type="dxa" w:w="135"/>
              <w:bottom w:type="dxa" w:w="95"/>
              <w:right w:type="dxa" w:w="135"/>
            </w:tcMar>
          </w:tcPr>
          <w:p>
            <w:r>
              <w:rPr>
                <w:sz w:val="20"/>
                <w:szCs w:val="20"/>
              </w:rPr>
              <w:t xml:space="preserve">Backup only</w:t>
            </w:r>
          </w:p>
        </w:tc>
        <w:tc>
          <w:tcPr>
            <w:tcW w:type="dxa" w:w="2560"/>
            <w:tcMar>
              <w:top w:type="dxa" w:w="95"/>
              <w:left w:type="dxa" w:w="135"/>
              <w:bottom w:type="dxa" w:w="95"/>
              <w:right w:type="dxa" w:w="135"/>
            </w:tcMar>
          </w:tcPr>
          <w:p>
            <w:r>
              <w:rPr>
                <w:rFonts w:ascii="Consolas" w:cs="Consolas" w:eastAsia="Consolas" w:hAnsi="Consolas"/>
                <w:sz w:val="18"/>
                <w:szCs w:val="18"/>
              </w:rPr>
              <w:t xml:space="preserve">pg_dump</w:t>
            </w:r>
            <w:r>
              <w:rPr>
                <w:sz w:val="20"/>
                <w:szCs w:val="20"/>
              </w:rPr>
              <w:t xml:space="preserve"> / restore — section 4</w:t>
            </w:r>
          </w:p>
        </w:tc>
      </w:tr>
      <w:tr>
        <w:tc>
          <w:tcPr>
            <w:tcW w:type="dxa" w:w="2000"/>
            <w:tcMar>
              <w:top w:type="dxa" w:w="95"/>
              <w:left w:type="dxa" w:w="135"/>
              <w:bottom w:type="dxa" w:w="95"/>
              <w:right w:type="dxa" w:w="135"/>
            </w:tcMar>
          </w:tcPr>
          <w:p>
            <w:r>
              <w:rPr>
                <w:sz w:val="20"/>
                <w:szCs w:val="20"/>
              </w:rPr>
              <w:t xml:space="preserve">Object storage</w:t>
            </w:r>
          </w:p>
        </w:tc>
        <w:tc>
          <w:tcPr>
            <w:tcW w:type="dxa" w:w="2600"/>
            <w:tcMar>
              <w:top w:type="dxa" w:w="95"/>
              <w:left w:type="dxa" w:w="135"/>
              <w:bottom w:type="dxa" w:w="95"/>
              <w:right w:type="dxa" w:w="135"/>
            </w:tcMar>
          </w:tcPr>
          <w:p>
            <w:r>
              <w:rPr>
                <w:sz w:val="20"/>
                <w:szCs w:val="20"/>
              </w:rPr>
              <w:t xml:space="preserve">Chart page images</w:t>
            </w:r>
          </w:p>
        </w:tc>
        <w:tc>
          <w:tcPr>
            <w:tcW w:type="dxa" w:w="2200"/>
            <w:tcMar>
              <w:top w:type="dxa" w:w="95"/>
              <w:left w:type="dxa" w:w="135"/>
              <w:bottom w:type="dxa" w:w="95"/>
              <w:right w:type="dxa" w:w="135"/>
            </w:tcMar>
          </w:tcPr>
          <w:p>
            <w:r>
              <w:rPr>
                <w:sz w:val="20"/>
                <w:szCs w:val="20"/>
              </w:rPr>
              <w:t xml:space="preserve">Backup only</w:t>
            </w:r>
          </w:p>
        </w:tc>
        <w:tc>
          <w:tcPr>
            <w:tcW w:type="dxa" w:w="2560"/>
            <w:tcMar>
              <w:top w:type="dxa" w:w="95"/>
              <w:left w:type="dxa" w:w="135"/>
              <w:bottom w:type="dxa" w:w="95"/>
              <w:right w:type="dxa" w:w="135"/>
            </w:tcMar>
          </w:tcPr>
          <w:p>
            <w:r>
              <w:rPr>
                <w:sz w:val="20"/>
                <w:szCs w:val="20"/>
              </w:rPr>
              <w:t xml:space="preserve">Bucket transfer — section 4.5</w:t>
            </w:r>
          </w:p>
        </w:tc>
      </w:tr>
    </w:tbl>
    <w:p>
      <w:pPr>
        <w:spacing w:after="0" w:before="0" w:line="20"/>
      </w:pP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Two of the four components carry data, and they are backed up separately</w:t>
            </w:r>
          </w:p>
          <w:p>
            <w:pPr>
              <w:spacing w:after="65" w:line="285"/>
            </w:pPr>
            <w:r>
              <w:rPr>
                <w:sz w:val="21"/>
                <w:szCs w:val="21"/>
              </w:rPr>
              <w:t xml:space="preserve">A database backup does not contain chart images. An object storage backup does not contain any other record.</w:t>
            </w:r>
          </w:p>
          <w:p>
            <w:pPr>
              <w:spacing w:after="65" w:line="285"/>
            </w:pPr>
            <w:r>
              <w:rPr>
                <w:b/>
                <w:bCs/>
                <w:sz w:val="21"/>
                <w:szCs w:val="21"/>
              </w:rPr>
              <w:t xml:space="preserve">Both must be transferred for the application to be functional after migration.</w:t>
            </w:r>
          </w:p>
        </w:tc>
      </w:tr>
    </w:tbl>
    <w:p>
      <w:r>
        <w:br w:type="page"/>
      </w:r>
    </w:p>
    <w:p>
      <w:pPr>
        <w:pStyle w:val="Heading1"/>
        <w:spacing w:after="170" w:before="400"/>
      </w:pPr>
      <w:r>
        <w:rPr>
          <w:b/>
          <w:bCs/>
          <w:color w:val="1F3864"/>
          <w:sz w:val="30"/>
          <w:szCs w:val="30"/>
        </w:rPr>
        <w:t xml:space="preserve">2. Data architecture</w:t>
      </w:r>
    </w:p>
    <w:p>
      <w:pPr>
        <w:pStyle w:val="Heading2"/>
        <w:spacing w:after="130" w:before="300"/>
      </w:pPr>
      <w:r>
        <w:rPr>
          <w:b/>
          <w:bCs/>
          <w:color w:val="1F3864"/>
          <w:sz w:val="24"/>
          <w:szCs w:val="24"/>
        </w:rPr>
        <w:t xml:space="preserve">2.1 Charts: ingestion and retrieval</w:t>
      </w:r>
    </w:p>
    <w:p>
      <w:pPr>
        <w:spacing w:after="90" w:before="200"/>
        <w:jc w:val="center"/>
      </w:pPr>
      <w:r>
        <w:drawing>
          <wp:inline distT="0" distB="0" distL="0" distR="0">
            <wp:extent cx="590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48000"/>
                    </a:xfrm>
                    <a:prstGeom prst="rect">
                      <a:avLst/>
                    </a:prstGeom>
                  </pic:spPr>
                </pic:pic>
              </a:graphicData>
            </a:graphic>
          </wp:inline>
        </w:drawing>
      </w:r>
    </w:p>
    <w:p>
      <w:pPr>
        <w:spacing w:after="220"/>
        <w:jc w:val="center"/>
      </w:pPr>
      <w:r>
        <w:rPr>
          <w:i/>
          <w:iCs/>
          <w:color w:val="595959"/>
          <w:sz w:val="18"/>
          <w:szCs w:val="18"/>
        </w:rPr>
        <w:t xml:space="preserve">Figure 2 — Chart ingestion and retrieval</w:t>
      </w:r>
    </w:p>
    <w:p>
      <w:pPr>
        <w:pStyle w:val="Heading3"/>
        <w:spacing w:after="110" w:before="220"/>
      </w:pPr>
      <w:r>
        <w:rPr>
          <w:b/>
          <w:bCs/>
          <w:color w:val="2E75B6"/>
          <w:sz w:val="22"/>
          <w:szCs w:val="22"/>
        </w:rPr>
        <w:t xml:space="preserve">Ingestion</w:t>
      </w:r>
    </w:p>
    <w:p>
      <w:pPr>
        <w:spacing w:after="130" w:line="285"/>
      </w:pPr>
      <w:r>
        <w:rPr>
          <w:sz w:val="21"/>
          <w:szCs w:val="21"/>
        </w:rPr>
        <w:t xml:space="preserve">A chart is uploaded as a PDF, an image file, or a Word document. The application converts it and does not retain the uploaded file.</w:t>
      </w:r>
    </w:p>
    <w:p>
      <w:pPr>
        <w:pStyle w:val="ListParagraph"/>
        <w:numPr>
          <w:ilvl w:val="0"/>
          <w:numId w:val="2"/>
        </w:numPr>
        <w:spacing w:after="85" w:line="285"/>
      </w:pPr>
      <w:r>
        <w:rPr>
          <w:sz w:val="21"/>
          <w:szCs w:val="21"/>
        </w:rPr>
        <w:t xml:space="preserve">PDF documents are rendered page-by-page to PNG at 1.7× scale</w:t>
      </w:r>
    </w:p>
    <w:p>
      <w:pPr>
        <w:pStyle w:val="ListParagraph"/>
        <w:numPr>
          <w:ilvl w:val="0"/>
          <w:numId w:val="2"/>
        </w:numPr>
        <w:spacing w:after="85" w:line="285"/>
      </w:pPr>
      <w:r>
        <w:rPr>
          <w:sz w:val="21"/>
          <w:szCs w:val="21"/>
        </w:rPr>
        <w:t xml:space="preserve">Image files (PNG, JPG, TIFF, BMP, WEBP) are converted to PNG</w:t>
      </w:r>
    </w:p>
    <w:p>
      <w:pPr>
        <w:pStyle w:val="ListParagraph"/>
        <w:numPr>
          <w:ilvl w:val="0"/>
          <w:numId w:val="2"/>
        </w:numPr>
        <w:spacing w:after="85" w:line="285"/>
      </w:pPr>
      <w:r>
        <w:rPr>
          <w:sz w:val="21"/>
          <w:szCs w:val="21"/>
        </w:rPr>
        <w:t xml:space="preserve">Word documents are rendered to page images</w:t>
      </w:r>
    </w:p>
    <w:p>
      <w:pPr>
        <w:pStyle w:val="ListParagraph"/>
        <w:numPr>
          <w:ilvl w:val="0"/>
          <w:numId w:val="2"/>
        </w:numPr>
        <w:spacing w:after="85" w:line="285"/>
      </w:pPr>
      <w:r>
        <w:rPr>
          <w:sz w:val="21"/>
          <w:szCs w:val="21"/>
        </w:rPr>
        <w:t xml:space="preserve">Other file types are rejected at upload</w:t>
      </w:r>
    </w:p>
    <w:p>
      <w:pPr>
        <w:spacing w:after="130" w:line="285"/>
      </w:pPr>
      <w:r>
        <w:rPr>
          <w:sz w:val="21"/>
          <w:szCs w:val="21"/>
        </w:rPr>
        <w:t xml:space="preserve">Each page image is written to object storage. Text is extracted during conversion and stored in the database to support in-chart search. The source file is discarded once conversion completes.</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The page images are the only copy of chart content</w:t>
            </w:r>
          </w:p>
          <w:p>
            <w:pPr>
              <w:spacing w:after="65" w:line="285"/>
            </w:pPr>
            <w:r>
              <w:rPr>
                <w:sz w:val="21"/>
                <w:szCs w:val="21"/>
              </w:rPr>
              <w:t xml:space="preserve">The application retains no archive of uploaded source files.</w:t>
            </w:r>
          </w:p>
          <w:p>
            <w:pPr>
              <w:spacing w:after="65" w:line="285"/>
            </w:pPr>
            <w:r>
              <w:rPr>
                <w:b/>
                <w:bCs/>
                <w:sz w:val="21"/>
                <w:szCs w:val="21"/>
              </w:rPr>
              <w:t xml:space="preserve">Loss of the object storage bucket is loss of every chart, and is not recoverable from a database backup.</w:t>
            </w:r>
          </w:p>
        </w:tc>
      </w:tr>
    </w:tbl>
    <w:p>
      <w:pPr>
        <w:pStyle w:val="Heading3"/>
        <w:spacing w:after="110" w:before="220"/>
      </w:pPr>
      <w:r>
        <w:rPr>
          <w:b/>
          <w:bCs/>
          <w:color w:val="2E75B6"/>
          <w:sz w:val="22"/>
          <w:szCs w:val="22"/>
        </w:rPr>
        <w:t xml:space="preserve">Storage key format</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charts/{chart_id}/{page_order:04d}_{original_filename}.png</w:t>
      </w:r>
      <w:r>
        <w:br/>
      </w:r>
      <w:r>
        <w:rPr>
          <w:rFonts w:ascii="Consolas" w:cs="Consolas" w:eastAsia="Consolas" w:hAnsi="Consolas"/>
          <w:sz w:val="18"/>
          <w:szCs w:val="18"/>
        </w:rPr>
        <w:t xml:space="preserve"/>
      </w:r>
      <w:r>
        <w:br/>
      </w:r>
      <w:r>
        <w:rPr>
          <w:rFonts w:ascii="Consolas" w:cs="Consolas" w:eastAsia="Consolas" w:hAnsi="Consolas"/>
          <w:sz w:val="18"/>
          <w:szCs w:val="18"/>
        </w:rPr>
        <w:t xml:space="preserve">example:  charts/142/0000_Discharge Summary.pdf.png</w:t>
      </w:r>
    </w:p>
    <w:p>
      <w:pPr>
        <w:spacing w:after="130" w:line="285"/>
      </w:pPr>
      <w:r>
        <w:rPr>
          <w:sz w:val="21"/>
          <w:szCs w:val="21"/>
        </w:rPr>
        <w:t xml:space="preserve">The key embeds the numeric </w:t>
      </w:r>
      <w:r>
        <w:rPr>
          <w:rFonts w:ascii="Consolas" w:cs="Consolas" w:eastAsia="Consolas" w:hAnsi="Consolas"/>
          <w:color w:val="7B1FA2"/>
          <w:sz w:val="19"/>
          <w:szCs w:val="19"/>
        </w:rPr>
        <w:t xml:space="preserve">chart_id</w:t>
      </w:r>
      <w:r>
        <w:rPr>
          <w:sz w:val="21"/>
          <w:szCs w:val="21"/>
        </w:rPr>
        <w:t xml:space="preserve">, not the human-readable chart number such as </w:t>
      </w:r>
      <w:r>
        <w:rPr>
          <w:rFonts w:ascii="Consolas" w:cs="Consolas" w:eastAsia="Consolas" w:hAnsi="Consolas"/>
          <w:color w:val="7B1FA2"/>
          <w:sz w:val="19"/>
          <w:szCs w:val="19"/>
        </w:rPr>
        <w:t xml:space="preserve">IP001</w:t>
      </w:r>
      <w:r>
        <w:rPr>
          <w:sz w:val="21"/>
          <w:szCs w:val="21"/>
        </w:rPr>
        <w:t xml:space="preserve">. Consequently:</w:t>
      </w:r>
    </w:p>
    <w:p>
      <w:pPr>
        <w:pStyle w:val="ListParagraph"/>
        <w:numPr>
          <w:ilvl w:val="0"/>
          <w:numId w:val="2"/>
        </w:numPr>
        <w:spacing w:after="85" w:line="285"/>
      </w:pPr>
      <w:r>
        <w:rPr>
          <w:sz w:val="21"/>
          <w:szCs w:val="21"/>
        </w:rPr>
        <w:t xml:space="preserve">A bucket transfer that preserves keys requires no database changes</w:t>
      </w:r>
    </w:p>
    <w:p>
      <w:pPr>
        <w:pStyle w:val="ListParagraph"/>
        <w:numPr>
          <w:ilvl w:val="0"/>
          <w:numId w:val="2"/>
        </w:numPr>
        <w:spacing w:after="85" w:line="285"/>
      </w:pPr>
      <w:r>
        <w:rPr>
          <w:sz w:val="21"/>
          <w:szCs w:val="21"/>
        </w:rPr>
        <w:t xml:space="preserve">Renaming a chart in the application does not relocate any stored object</w:t>
      </w:r>
    </w:p>
    <w:p>
      <w:pPr>
        <w:pStyle w:val="Heading3"/>
        <w:spacing w:after="110" w:before="220"/>
      </w:pPr>
      <w:r>
        <w:rPr>
          <w:b/>
          <w:bCs/>
          <w:color w:val="2E75B6"/>
          <w:sz w:val="22"/>
          <w:szCs w:val="22"/>
        </w:rPr>
        <w:t xml:space="preserve">Database record</w:t>
      </w:r>
    </w:p>
    <w:p>
      <w:pPr>
        <w:spacing w:after="130" w:line="285"/>
      </w:pPr>
      <w:r>
        <w:rPr>
          <w:rFonts w:ascii="Consolas" w:cs="Consolas" w:eastAsia="Consolas" w:hAnsi="Consolas"/>
          <w:color w:val="7B1FA2"/>
          <w:sz w:val="19"/>
          <w:szCs w:val="19"/>
        </w:rPr>
        <w:t xml:space="preserve">chart_files</w:t>
      </w:r>
      <w:r>
        <w:rPr>
          <w:sz w:val="21"/>
          <w:szCs w:val="21"/>
        </w:rPr>
        <w:t xml:space="preserve"> holds one row per page: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700"/>
        <w:gridCol w:w="5660"/>
      </w:tblGrid>
      <w:tr>
        <w:trPr>
          <w:tblHeader/>
        </w:trPr>
        <w:tc>
          <w:tcPr>
            <w:tcW w:type="dxa" w:w="3700"/>
            <w:shd w:fill="DCE6F1" w:val="clear"/>
            <w:tcMar>
              <w:top w:type="dxa" w:w="95"/>
              <w:left w:type="dxa" w:w="135"/>
              <w:bottom w:type="dxa" w:w="95"/>
              <w:right w:type="dxa" w:w="135"/>
            </w:tcMar>
          </w:tcPr>
          <w:p>
            <w:r>
              <w:rPr>
                <w:b/>
                <w:bCs/>
                <w:color w:val="1F3864"/>
                <w:sz w:val="20"/>
                <w:szCs w:val="20"/>
              </w:rPr>
              <w:t xml:space="preserve">Column</w:t>
            </w:r>
          </w:p>
        </w:tc>
        <w:tc>
          <w:tcPr>
            <w:tcW w:type="dxa" w:w="5660"/>
            <w:shd w:fill="DCE6F1" w:val="clear"/>
            <w:tcMar>
              <w:top w:type="dxa" w:w="95"/>
              <w:left w:type="dxa" w:w="135"/>
              <w:bottom w:type="dxa" w:w="95"/>
              <w:right w:type="dxa" w:w="135"/>
            </w:tcMar>
          </w:tcPr>
          <w:p>
            <w:r>
              <w:rPr>
                <w:b/>
                <w:bCs/>
                <w:color w:val="1F3864"/>
                <w:sz w:val="20"/>
                <w:szCs w:val="20"/>
              </w:rPr>
              <w:t xml:space="preserve">Contents</w:t>
            </w:r>
          </w:p>
        </w:tc>
      </w:tr>
      <w:tr>
        <w:tc>
          <w:tcPr>
            <w:tcW w:type="dxa" w:w="3700"/>
            <w:tcMar>
              <w:top w:type="dxa" w:w="95"/>
              <w:left w:type="dxa" w:w="135"/>
              <w:bottom w:type="dxa" w:w="95"/>
              <w:right w:type="dxa" w:w="135"/>
            </w:tcMar>
          </w:tcPr>
          <w:p>
            <w:r>
              <w:rPr>
                <w:rFonts w:ascii="Consolas" w:cs="Consolas" w:eastAsia="Consolas" w:hAnsi="Consolas"/>
                <w:sz w:val="18"/>
                <w:szCs w:val="18"/>
              </w:rPr>
              <w:t xml:space="preserve">storage_key</w:t>
            </w:r>
          </w:p>
        </w:tc>
        <w:tc>
          <w:tcPr>
            <w:tcW w:type="dxa" w:w="5660"/>
            <w:tcMar>
              <w:top w:type="dxa" w:w="95"/>
              <w:left w:type="dxa" w:w="135"/>
              <w:bottom w:type="dxa" w:w="95"/>
              <w:right w:type="dxa" w:w="135"/>
            </w:tcMar>
          </w:tcPr>
          <w:p>
            <w:r>
              <w:rPr>
                <w:sz w:val="20"/>
                <w:szCs w:val="20"/>
              </w:rPr>
              <w:t xml:space="preserve">Object key in the bucket</w:t>
            </w:r>
          </w:p>
        </w:tc>
      </w:tr>
      <w:tr>
        <w:tc>
          <w:tcPr>
            <w:tcW w:type="dxa" w:w="3700"/>
            <w:tcMar>
              <w:top w:type="dxa" w:w="95"/>
              <w:left w:type="dxa" w:w="135"/>
              <w:bottom w:type="dxa" w:w="95"/>
              <w:right w:type="dxa" w:w="135"/>
            </w:tcMar>
          </w:tcPr>
          <w:p>
            <w:r>
              <w:rPr>
                <w:rFonts w:ascii="Consolas" w:cs="Consolas" w:eastAsia="Consolas" w:hAnsi="Consolas"/>
                <w:sz w:val="18"/>
                <w:szCs w:val="18"/>
              </w:rPr>
              <w:t xml:space="preserve">page_order</w:t>
            </w:r>
          </w:p>
        </w:tc>
        <w:tc>
          <w:tcPr>
            <w:tcW w:type="dxa" w:w="5660"/>
            <w:tcMar>
              <w:top w:type="dxa" w:w="95"/>
              <w:left w:type="dxa" w:w="135"/>
              <w:bottom w:type="dxa" w:w="95"/>
              <w:right w:type="dxa" w:w="135"/>
            </w:tcMar>
          </w:tcPr>
          <w:p>
            <w:r>
              <w:rPr>
                <w:sz w:val="20"/>
                <w:szCs w:val="20"/>
              </w:rPr>
              <w:t xml:space="preserve">Page sequence within the chart</w:t>
            </w:r>
          </w:p>
        </w:tc>
      </w:tr>
      <w:tr>
        <w:tc>
          <w:tcPr>
            <w:tcW w:type="dxa" w:w="3700"/>
            <w:tcMar>
              <w:top w:type="dxa" w:w="95"/>
              <w:left w:type="dxa" w:w="135"/>
              <w:bottom w:type="dxa" w:w="95"/>
              <w:right w:type="dxa" w:w="135"/>
            </w:tcMar>
          </w:tcPr>
          <w:p>
            <w:r>
              <w:rPr>
                <w:rFonts w:ascii="Consolas" w:cs="Consolas" w:eastAsia="Consolas" w:hAnsi="Consolas"/>
                <w:sz w:val="18"/>
                <w:szCs w:val="18"/>
              </w:rPr>
              <w:t xml:space="preserve">page_text</w:t>
            </w:r>
          </w:p>
        </w:tc>
        <w:tc>
          <w:tcPr>
            <w:tcW w:type="dxa" w:w="5660"/>
            <w:tcMar>
              <w:top w:type="dxa" w:w="95"/>
              <w:left w:type="dxa" w:w="135"/>
              <w:bottom w:type="dxa" w:w="95"/>
              <w:right w:type="dxa" w:w="135"/>
            </w:tcMar>
          </w:tcPr>
          <w:p>
            <w:r>
              <w:rPr>
                <w:sz w:val="20"/>
                <w:szCs w:val="20"/>
              </w:rPr>
              <w:t xml:space="preserve">Text extracted at upload, used for in-chart search</w:t>
            </w:r>
          </w:p>
        </w:tc>
      </w:tr>
      <w:tr>
        <w:tc>
          <w:tcPr>
            <w:tcW w:type="dxa" w:w="3700"/>
            <w:tcMar>
              <w:top w:type="dxa" w:w="95"/>
              <w:left w:type="dxa" w:w="135"/>
              <w:bottom w:type="dxa" w:w="95"/>
              <w:right w:type="dxa" w:w="135"/>
            </w:tcMar>
          </w:tcPr>
          <w:p>
            <w:r>
              <w:rPr>
                <w:rFonts w:ascii="Consolas" w:cs="Consolas" w:eastAsia="Consolas" w:hAnsi="Consolas"/>
                <w:sz w:val="18"/>
                <w:szCs w:val="18"/>
              </w:rPr>
              <w:t xml:space="preserve">original_filename, total_pages, uploaded_by</w:t>
            </w:r>
          </w:p>
        </w:tc>
        <w:tc>
          <w:tcPr>
            <w:tcW w:type="dxa" w:w="5660"/>
            <w:tcMar>
              <w:top w:type="dxa" w:w="95"/>
              <w:left w:type="dxa" w:w="135"/>
              <w:bottom w:type="dxa" w:w="95"/>
              <w:right w:type="dxa" w:w="135"/>
            </w:tcMar>
          </w:tcPr>
          <w:p>
            <w:r>
              <w:rPr>
                <w:sz w:val="20"/>
                <w:szCs w:val="20"/>
              </w:rPr>
              <w:t xml:space="preserve">Upload metadata</w:t>
            </w:r>
          </w:p>
        </w:tc>
      </w:tr>
    </w:tbl>
    <w:p>
      <w:pPr>
        <w:spacing w:after="130" w:line="285"/>
      </w:pPr>
      <w:r>
        <w:rPr>
          <w:rFonts w:ascii="Consolas" w:cs="Consolas" w:eastAsia="Consolas" w:hAnsi="Consolas"/>
          <w:color w:val="7B1FA2"/>
          <w:sz w:val="19"/>
          <w:szCs w:val="19"/>
        </w:rPr>
        <w:t xml:space="preserve">charts</w:t>
      </w:r>
      <w:r>
        <w:rPr>
          <w:sz w:val="21"/>
          <w:szCs w:val="21"/>
        </w:rPr>
        <w:t xml:space="preserve"> holds one row per chart: chart number, alias, specialty, category, difficulty, status, rationale, view count and uploader.</w:t>
      </w:r>
    </w:p>
    <w:p>
      <w:pPr>
        <w:pStyle w:val="Heading3"/>
        <w:spacing w:after="110" w:before="220"/>
      </w:pPr>
      <w:r>
        <w:rPr>
          <w:b/>
          <w:bCs/>
          <w:color w:val="2E75B6"/>
          <w:sz w:val="22"/>
          <w:szCs w:val="22"/>
        </w:rPr>
        <w:t xml:space="preserve">Retrieval</w:t>
      </w:r>
    </w:p>
    <w:p>
      <w:pPr>
        <w:spacing w:after="130" w:line="285"/>
      </w:pPr>
      <w:r>
        <w:rPr>
          <w:sz w:val="21"/>
          <w:szCs w:val="21"/>
        </w:rPr>
        <w:t xml:space="preserve">Chart images are served through the backend. The browser issues a request to the API, the API retrieves the object from storage server-side, and the bytes are streamed back in the response.</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GET /charts/{chart_id}/page/{page_order}</w:t>
      </w:r>
    </w:p>
    <w:p>
      <w:pPr>
        <w:spacing w:after="130" w:line="285"/>
      </w:pPr>
      <w:r>
        <w:rPr>
          <w:sz w:val="21"/>
          <w:szCs w:val="21"/>
        </w:rPr>
        <w:t xml:space="preserve">The browser is never given a storage URL and never holds storage credentials. This has the following consequences for deployment: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5560"/>
        <w:gridCol w:w="3800"/>
      </w:tblGrid>
      <w:tr>
        <w:trPr>
          <w:tblHeader/>
        </w:trPr>
        <w:tc>
          <w:tcPr>
            <w:tcW w:type="dxa" w:w="5560"/>
            <w:shd w:fill="DCE6F1" w:val="clear"/>
            <w:tcMar>
              <w:top w:type="dxa" w:w="95"/>
              <w:left w:type="dxa" w:w="135"/>
              <w:bottom w:type="dxa" w:w="95"/>
              <w:right w:type="dxa" w:w="135"/>
            </w:tcMar>
          </w:tcPr>
          <w:p>
            <w:r>
              <w:rPr>
                <w:b/>
                <w:bCs/>
                <w:color w:val="1F3864"/>
                <w:sz w:val="20"/>
                <w:szCs w:val="20"/>
              </w:rPr>
              <w:t xml:space="preserve">Property</w:t>
            </w:r>
          </w:p>
        </w:tc>
        <w:tc>
          <w:tcPr>
            <w:tcW w:type="dxa" w:w="3800"/>
            <w:shd w:fill="DCE6F1" w:val="clear"/>
            <w:tcMar>
              <w:top w:type="dxa" w:w="95"/>
              <w:left w:type="dxa" w:w="135"/>
              <w:bottom w:type="dxa" w:w="95"/>
              <w:right w:type="dxa" w:w="135"/>
            </w:tcMar>
          </w:tcPr>
          <w:p>
            <w:r>
              <w:rPr>
                <w:b/>
                <w:bCs/>
                <w:color w:val="1F3864"/>
                <w:sz w:val="20"/>
                <w:szCs w:val="20"/>
              </w:rPr>
              <w:t xml:space="preserve">Value</w:t>
            </w:r>
          </w:p>
        </w:tc>
      </w:tr>
      <w:tr>
        <w:tc>
          <w:tcPr>
            <w:tcW w:type="dxa" w:w="5560"/>
            <w:tcMar>
              <w:top w:type="dxa" w:w="95"/>
              <w:left w:type="dxa" w:w="135"/>
              <w:bottom w:type="dxa" w:w="95"/>
              <w:right w:type="dxa" w:w="135"/>
            </w:tcMar>
          </w:tcPr>
          <w:p>
            <w:r>
              <w:rPr>
                <w:sz w:val="20"/>
                <w:szCs w:val="20"/>
              </w:rPr>
              <w:t xml:space="preserve">Front end connects to storage</w:t>
            </w:r>
          </w:p>
        </w:tc>
        <w:tc>
          <w:tcPr>
            <w:tcW w:type="dxa" w:w="3800"/>
            <w:tcMar>
              <w:top w:type="dxa" w:w="95"/>
              <w:left w:type="dxa" w:w="135"/>
              <w:bottom w:type="dxa" w:w="95"/>
              <w:right w:type="dxa" w:w="135"/>
            </w:tcMar>
          </w:tcPr>
          <w:p>
            <w:r>
              <w:rPr>
                <w:b/>
                <w:bCs/>
                <w:sz w:val="20"/>
                <w:szCs w:val="20"/>
              </w:rPr>
              <w:t xml:space="preserve">No</w:t>
            </w:r>
          </w:p>
        </w:tc>
      </w:tr>
      <w:tr>
        <w:tc>
          <w:tcPr>
            <w:tcW w:type="dxa" w:w="5560"/>
            <w:tcMar>
              <w:top w:type="dxa" w:w="95"/>
              <w:left w:type="dxa" w:w="135"/>
              <w:bottom w:type="dxa" w:w="95"/>
              <w:right w:type="dxa" w:w="135"/>
            </w:tcMar>
          </w:tcPr>
          <w:p>
            <w:r>
              <w:rPr>
                <w:sz w:val="20"/>
                <w:szCs w:val="20"/>
              </w:rPr>
              <w:t xml:space="preserve">Browser holds storage credentials</w:t>
            </w:r>
          </w:p>
        </w:tc>
        <w:tc>
          <w:tcPr>
            <w:tcW w:type="dxa" w:w="3800"/>
            <w:tcMar>
              <w:top w:type="dxa" w:w="95"/>
              <w:left w:type="dxa" w:w="135"/>
              <w:bottom w:type="dxa" w:w="95"/>
              <w:right w:type="dxa" w:w="135"/>
            </w:tcMar>
          </w:tcPr>
          <w:p>
            <w:r>
              <w:rPr>
                <w:b/>
                <w:bCs/>
                <w:sz w:val="20"/>
                <w:szCs w:val="20"/>
              </w:rPr>
              <w:t xml:space="preserve">No</w:t>
            </w:r>
          </w:p>
        </w:tc>
      </w:tr>
      <w:tr>
        <w:tc>
          <w:tcPr>
            <w:tcW w:type="dxa" w:w="5560"/>
            <w:tcMar>
              <w:top w:type="dxa" w:w="95"/>
              <w:left w:type="dxa" w:w="135"/>
              <w:bottom w:type="dxa" w:w="95"/>
              <w:right w:type="dxa" w:w="135"/>
            </w:tcMar>
          </w:tcPr>
          <w:p>
            <w:r>
              <w:rPr>
                <w:sz w:val="20"/>
                <w:szCs w:val="20"/>
              </w:rPr>
              <w:t xml:space="preserve">Storage must be reachable from user browsers</w:t>
            </w:r>
          </w:p>
        </w:tc>
        <w:tc>
          <w:tcPr>
            <w:tcW w:type="dxa" w:w="3800"/>
            <w:tcMar>
              <w:top w:type="dxa" w:w="95"/>
              <w:left w:type="dxa" w:w="135"/>
              <w:bottom w:type="dxa" w:w="95"/>
              <w:right w:type="dxa" w:w="135"/>
            </w:tcMar>
          </w:tcPr>
          <w:p>
            <w:r>
              <w:rPr>
                <w:b/>
                <w:bCs/>
                <w:sz w:val="20"/>
                <w:szCs w:val="20"/>
              </w:rPr>
              <w:t xml:space="preserve">No</w:t>
            </w:r>
          </w:p>
        </w:tc>
      </w:tr>
      <w:tr>
        <w:tc>
          <w:tcPr>
            <w:tcW w:type="dxa" w:w="5560"/>
            <w:tcMar>
              <w:top w:type="dxa" w:w="95"/>
              <w:left w:type="dxa" w:w="135"/>
              <w:bottom w:type="dxa" w:w="95"/>
              <w:right w:type="dxa" w:w="135"/>
            </w:tcMar>
          </w:tcPr>
          <w:p>
            <w:r>
              <w:rPr>
                <w:sz w:val="20"/>
                <w:szCs w:val="20"/>
              </w:rPr>
              <w:t xml:space="preserve">Storage requires CORS configuration</w:t>
            </w:r>
          </w:p>
        </w:tc>
        <w:tc>
          <w:tcPr>
            <w:tcW w:type="dxa" w:w="3800"/>
            <w:tcMar>
              <w:top w:type="dxa" w:w="95"/>
              <w:left w:type="dxa" w:w="135"/>
              <w:bottom w:type="dxa" w:w="95"/>
              <w:right w:type="dxa" w:w="135"/>
            </w:tcMar>
          </w:tcPr>
          <w:p>
            <w:r>
              <w:rPr>
                <w:b/>
                <w:bCs/>
                <w:sz w:val="20"/>
                <w:szCs w:val="20"/>
              </w:rPr>
              <w:t xml:space="preserve">No</w:t>
            </w:r>
          </w:p>
        </w:tc>
      </w:tr>
      <w:tr>
        <w:tc>
          <w:tcPr>
            <w:tcW w:type="dxa" w:w="5560"/>
            <w:tcMar>
              <w:top w:type="dxa" w:w="95"/>
              <w:left w:type="dxa" w:w="135"/>
              <w:bottom w:type="dxa" w:w="95"/>
              <w:right w:type="dxa" w:w="135"/>
            </w:tcMar>
          </w:tcPr>
          <w:p>
            <w:r>
              <w:rPr>
                <w:sz w:val="20"/>
                <w:szCs w:val="20"/>
              </w:rPr>
              <w:t xml:space="preserve">Storage may be private and internal-network-only</w:t>
            </w:r>
          </w:p>
        </w:tc>
        <w:tc>
          <w:tcPr>
            <w:tcW w:type="dxa" w:w="3800"/>
            <w:tcMar>
              <w:top w:type="dxa" w:w="95"/>
              <w:left w:type="dxa" w:w="135"/>
              <w:bottom w:type="dxa" w:w="95"/>
              <w:right w:type="dxa" w:w="135"/>
            </w:tcMar>
          </w:tcPr>
          <w:p>
            <w:r>
              <w:rPr>
                <w:b/>
                <w:bCs/>
                <w:sz w:val="20"/>
                <w:szCs w:val="20"/>
              </w:rPr>
              <w:t xml:space="preserve">Yes</w:t>
            </w:r>
          </w:p>
        </w:tc>
      </w:tr>
    </w:tbl>
    <w:p>
      <w:pPr>
        <w:spacing w:after="130" w:line="285"/>
      </w:pPr>
      <w:r>
        <w:rPr>
          <w:sz w:val="21"/>
          <w:szCs w:val="21"/>
        </w:rPr>
        <w:t xml:space="preserve">Responses carry </w:t>
      </w:r>
      <w:r>
        <w:rPr>
          <w:rFonts w:ascii="Consolas" w:cs="Consolas" w:eastAsia="Consolas" w:hAnsi="Consolas"/>
          <w:color w:val="7B1FA2"/>
          <w:sz w:val="19"/>
          <w:szCs w:val="19"/>
        </w:rPr>
        <w:t xml:space="preserve">Cache-Control: private, max-age=3600</w:t>
      </w:r>
      <w:r>
        <w:rPr>
          <w:sz w:val="21"/>
          <w:szCs w:val="21"/>
        </w:rPr>
        <w:t xml:space="preserve">, so a browser reuses a page image for one hour without a further request.</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An unused function in the storage module</w:t>
            </w:r>
          </w:p>
          <w:p>
            <w:pPr>
              <w:spacing w:after="65" w:line="285"/>
            </w:pPr>
            <w:r>
              <w:rPr>
                <w:rFonts w:ascii="Consolas" w:cs="Consolas" w:eastAsia="Consolas" w:hAnsi="Consolas"/>
                <w:sz w:val="19"/>
                <w:szCs w:val="19"/>
              </w:rPr>
              <w:t xml:space="preserve">services/storage.py</w:t>
            </w:r>
            <w:r>
              <w:rPr>
                <w:sz w:val="21"/>
                <w:szCs w:val="21"/>
              </w:rPr>
              <w:t xml:space="preserve"> defines </w:t>
            </w:r>
            <w:r>
              <w:rPr>
                <w:rFonts w:ascii="Consolas" w:cs="Consolas" w:eastAsia="Consolas" w:hAnsi="Consolas"/>
                <w:sz w:val="19"/>
                <w:szCs w:val="19"/>
              </w:rPr>
              <w:t xml:space="preserve">get_presigned_url()</w:t>
            </w:r>
            <w:r>
              <w:rPr>
                <w:sz w:val="21"/>
                <w:szCs w:val="21"/>
              </w:rPr>
              <w:t xml:space="preserve">. It is imported but never called; presigned URLs are not used by the application.</w:t>
            </w:r>
          </w:p>
          <w:p>
            <w:pPr>
              <w:spacing w:after="65" w:line="285"/>
            </w:pPr>
            <w:r>
              <w:rPr>
                <w:b/>
                <w:bCs/>
                <w:sz w:val="21"/>
                <w:szCs w:val="21"/>
              </w:rPr>
              <w:t xml:space="preserve">Reading that function as evidence that browsers fetch directly from storage will lead to network access being provisioned that the application does not require.</w:t>
            </w:r>
          </w:p>
        </w:tc>
      </w:tr>
    </w:tbl>
    <w:p>
      <w:r>
        <w:br w:type="page"/>
      </w:r>
    </w:p>
    <w:p>
      <w:pPr>
        <w:pStyle w:val="Heading2"/>
        <w:spacing w:after="130" w:before="300"/>
      </w:pPr>
      <w:r>
        <w:rPr>
          <w:b/>
          <w:bCs/>
          <w:color w:val="1F3864"/>
          <w:sz w:val="24"/>
          <w:szCs w:val="24"/>
        </w:rPr>
        <w:t xml:space="preserve">2.2 Spreadsheet inputs: answer keys and question banks</w:t>
      </w:r>
    </w:p>
    <w:p>
      <w:pPr>
        <w:spacing w:after="130" w:line="285"/>
      </w:pPr>
      <w:r>
        <w:rPr>
          <w:sz w:val="21"/>
          <w:szCs w:val="21"/>
        </w:rPr>
        <w:t xml:space="preserve">Trainers supply answer keys and assessment questions as Excel workbooks. Three upload paths exist: IP/OP answer keys, E/M answer keys, and the assessment question bank.</w:t>
      </w:r>
    </w:p>
    <w:p>
      <w:pPr>
        <w:spacing w:after="130" w:line="285"/>
      </w:pPr>
      <w:r>
        <w:rPr>
          <w:b/>
          <w:bCs/>
          <w:sz w:val="21"/>
          <w:szCs w:val="21"/>
        </w:rPr>
        <w:t xml:space="preserve">No uploaded workbook is retained.</w:t>
      </w:r>
      <w:r>
        <w:rPr>
          <w:sz w:val="21"/>
          <w:szCs w:val="21"/>
        </w:rPr>
        <w:t xml:space="preserve"> Each upload path reads the file, parses it, writes the parsed values to PostgreSQL and discards the file. No workbook is written to object storage or stored as a database blob.</w:t>
      </w:r>
    </w:p>
    <w:p>
      <w:pPr>
        <w:pStyle w:val="Heading3"/>
        <w:spacing w:after="110" w:before="220"/>
      </w:pPr>
      <w:r>
        <w:rPr>
          <w:b/>
          <w:bCs/>
          <w:color w:val="2E75B6"/>
          <w:sz w:val="22"/>
          <w:szCs w:val="22"/>
        </w:rPr>
        <w:t xml:space="preserve">Consequences</w:t>
      </w:r>
    </w:p>
    <w:p>
      <w:pPr>
        <w:pStyle w:val="ListParagraph"/>
        <w:numPr>
          <w:ilvl w:val="0"/>
          <w:numId w:val="2"/>
        </w:numPr>
        <w:spacing w:after="85" w:line="285"/>
      </w:pPr>
      <w:r>
        <w:rPr>
          <w:b/>
          <w:bCs/>
          <w:sz w:val="21"/>
          <w:szCs w:val="21"/>
        </w:rPr>
        <w:t xml:space="preserve">Migration: </w:t>
      </w:r>
      <w:r>
        <w:rPr>
          <w:sz w:val="21"/>
          <w:szCs w:val="21"/>
        </w:rPr>
        <w:t xml:space="preserve">no workbook requires transfer. A restored database contains every answer key and question.</w:t>
      </w:r>
    </w:p>
    <w:p>
      <w:pPr>
        <w:pStyle w:val="ListParagraph"/>
        <w:numPr>
          <w:ilvl w:val="0"/>
          <w:numId w:val="2"/>
        </w:numPr>
        <w:spacing w:after="85" w:line="285"/>
      </w:pPr>
      <w:r>
        <w:rPr>
          <w:b/>
          <w:bCs/>
          <w:sz w:val="21"/>
          <w:szCs w:val="21"/>
        </w:rPr>
        <w:t xml:space="preserve">Recovery: </w:t>
      </w:r>
      <w:r>
        <w:rPr>
          <w:sz w:val="21"/>
          <w:szCs w:val="21"/>
        </w:rPr>
        <w:t xml:space="preserve">an uploaded workbook cannot be retrieved from the application. The answer-key export regenerates an equivalent workbook from stored values; it is not the original file.</w:t>
      </w:r>
    </w:p>
    <w:p>
      <w:pPr>
        <w:pStyle w:val="ListParagraph"/>
        <w:numPr>
          <w:ilvl w:val="0"/>
          <w:numId w:val="2"/>
        </w:numPr>
        <w:spacing w:after="85" w:line="285"/>
      </w:pPr>
      <w:r>
        <w:rPr>
          <w:b/>
          <w:bCs/>
          <w:sz w:val="21"/>
          <w:szCs w:val="21"/>
        </w:rPr>
        <w:t xml:space="preserve">Audit: </w:t>
      </w:r>
      <w:r>
        <w:rPr>
          <w:sz w:val="21"/>
          <w:szCs w:val="21"/>
        </w:rPr>
        <w:t xml:space="preserve">the application records the parsed result, not the submitted file.</w:t>
      </w:r>
    </w:p>
    <w:p>
      <w:pPr>
        <w:pStyle w:val="Heading3"/>
        <w:spacing w:after="110" w:before="220"/>
      </w:pPr>
      <w:r>
        <w:rPr>
          <w:b/>
          <w:bCs/>
          <w:color w:val="2E75B6"/>
          <w:sz w:val="22"/>
          <w:szCs w:val="22"/>
        </w:rPr>
        <w:t xml:space="preserve">Destination tables</w:t>
      </w:r>
    </w:p>
    <w:p>
      <w:pPr>
        <w:spacing w:after="130" w:line="285"/>
      </w:pPr>
      <w:r>
        <w:rPr>
          <w:sz w:val="21"/>
          <w:szCs w:val="21"/>
        </w:rPr>
        <w:t xml:space="preserve">IP/OP answer keys → </w:t>
      </w:r>
      <w:r>
        <w:rPr>
          <w:rFonts w:ascii="Consolas" w:cs="Consolas" w:eastAsia="Consolas" w:hAnsi="Consolas"/>
          <w:color w:val="7B1FA2"/>
          <w:sz w:val="19"/>
          <w:szCs w:val="19"/>
        </w:rPr>
        <w:t xml:space="preserve">answer_keys</w:t>
      </w:r>
      <w:r>
        <w:rPr>
          <w:sz w:val="21"/>
          <w:szCs w:val="21"/>
        </w:rPr>
        <w:t xml:space="preserve">, one row per chart: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300"/>
        <w:gridCol w:w="1200"/>
        <w:gridCol w:w="4860"/>
      </w:tblGrid>
      <w:tr>
        <w:trPr>
          <w:tblHeader/>
        </w:trPr>
        <w:tc>
          <w:tcPr>
            <w:tcW w:type="dxa" w:w="3300"/>
            <w:shd w:fill="DCE6F1" w:val="clear"/>
            <w:tcMar>
              <w:top w:type="dxa" w:w="95"/>
              <w:left w:type="dxa" w:w="135"/>
              <w:bottom w:type="dxa" w:w="95"/>
              <w:right w:type="dxa" w:w="135"/>
            </w:tcMar>
          </w:tcPr>
          <w:p>
            <w:r>
              <w:rPr>
                <w:b/>
                <w:bCs/>
                <w:color w:val="1F3864"/>
                <w:sz w:val="20"/>
                <w:szCs w:val="20"/>
              </w:rPr>
              <w:t xml:space="preserve">Column</w:t>
            </w:r>
          </w:p>
        </w:tc>
        <w:tc>
          <w:tcPr>
            <w:tcW w:type="dxa" w:w="1200"/>
            <w:shd w:fill="DCE6F1" w:val="clear"/>
            <w:tcMar>
              <w:top w:type="dxa" w:w="95"/>
              <w:left w:type="dxa" w:w="135"/>
              <w:bottom w:type="dxa" w:w="95"/>
              <w:right w:type="dxa" w:w="135"/>
            </w:tcMar>
          </w:tcPr>
          <w:p>
            <w:r>
              <w:rPr>
                <w:b/>
                <w:bCs/>
                <w:color w:val="1F3864"/>
                <w:sz w:val="20"/>
                <w:szCs w:val="20"/>
              </w:rPr>
              <w:t xml:space="preserve">Type</w:t>
            </w:r>
          </w:p>
        </w:tc>
        <w:tc>
          <w:tcPr>
            <w:tcW w:type="dxa" w:w="4860"/>
            <w:shd w:fill="DCE6F1" w:val="clear"/>
            <w:tcMar>
              <w:top w:type="dxa" w:w="95"/>
              <w:left w:type="dxa" w:w="135"/>
              <w:bottom w:type="dxa" w:w="95"/>
              <w:right w:type="dxa" w:w="135"/>
            </w:tcMar>
          </w:tcPr>
          <w:p>
            <w:r>
              <w:rPr>
                <w:b/>
                <w:bCs/>
                <w:color w:val="1F3864"/>
                <w:sz w:val="20"/>
                <w:szCs w:val="20"/>
              </w:rPr>
              <w:t xml:space="preserve">Contents</w:t>
            </w:r>
          </w:p>
        </w:tc>
      </w:tr>
      <w:tr>
        <w:tc>
          <w:tcPr>
            <w:tcW w:type="dxa" w:w="3300"/>
            <w:tcMar>
              <w:top w:type="dxa" w:w="95"/>
              <w:left w:type="dxa" w:w="135"/>
              <w:bottom w:type="dxa" w:w="95"/>
              <w:right w:type="dxa" w:w="135"/>
            </w:tcMar>
          </w:tcPr>
          <w:p>
            <w:r>
              <w:rPr>
                <w:rFonts w:ascii="Consolas" w:cs="Consolas" w:eastAsia="Consolas" w:hAnsi="Consolas"/>
                <w:sz w:val="18"/>
                <w:szCs w:val="18"/>
              </w:rPr>
              <w:t xml:space="preserve">pdx_code, pdx_poa</w:t>
            </w:r>
          </w:p>
        </w:tc>
        <w:tc>
          <w:tcPr>
            <w:tcW w:type="dxa" w:w="1200"/>
            <w:tcMar>
              <w:top w:type="dxa" w:w="95"/>
              <w:left w:type="dxa" w:w="135"/>
              <w:bottom w:type="dxa" w:w="95"/>
              <w:right w:type="dxa" w:w="135"/>
            </w:tcMar>
          </w:tcPr>
          <w:p>
            <w:r>
              <w:rPr>
                <w:sz w:val="20"/>
                <w:szCs w:val="20"/>
              </w:rPr>
              <w:t xml:space="preserve">text</w:t>
            </w:r>
          </w:p>
        </w:tc>
        <w:tc>
          <w:tcPr>
            <w:tcW w:type="dxa" w:w="4860"/>
            <w:tcMar>
              <w:top w:type="dxa" w:w="95"/>
              <w:left w:type="dxa" w:w="135"/>
              <w:bottom w:type="dxa" w:w="95"/>
              <w:right w:type="dxa" w:w="135"/>
            </w:tcMar>
          </w:tcPr>
          <w:p>
            <w:r>
              <w:rPr>
                <w:sz w:val="20"/>
                <w:szCs w:val="20"/>
              </w:rPr>
              <w:t xml:space="preserve">Principal diagnosis and POA indicator</w:t>
            </w:r>
          </w:p>
        </w:tc>
      </w:tr>
      <w:tr>
        <w:tc>
          <w:tcPr>
            <w:tcW w:type="dxa" w:w="3300"/>
            <w:tcMar>
              <w:top w:type="dxa" w:w="95"/>
              <w:left w:type="dxa" w:w="135"/>
              <w:bottom w:type="dxa" w:w="95"/>
              <w:right w:type="dxa" w:w="135"/>
            </w:tcMar>
          </w:tcPr>
          <w:p>
            <w:r>
              <w:rPr>
                <w:rFonts w:ascii="Consolas" w:cs="Consolas" w:eastAsia="Consolas" w:hAnsi="Consolas"/>
                <w:sz w:val="18"/>
                <w:szCs w:val="18"/>
              </w:rPr>
              <w:t xml:space="preserve">sdx</w:t>
            </w:r>
          </w:p>
        </w:tc>
        <w:tc>
          <w:tcPr>
            <w:tcW w:type="dxa" w:w="1200"/>
            <w:tcMar>
              <w:top w:type="dxa" w:w="95"/>
              <w:left w:type="dxa" w:w="135"/>
              <w:bottom w:type="dxa" w:w="95"/>
              <w:right w:type="dxa" w:w="135"/>
            </w:tcMar>
          </w:tcPr>
          <w:p>
            <w:r>
              <w:rPr>
                <w:sz w:val="20"/>
                <w:szCs w:val="20"/>
              </w:rPr>
              <w:t xml:space="preserve">JSON</w:t>
            </w:r>
          </w:p>
        </w:tc>
        <w:tc>
          <w:tcPr>
            <w:tcW w:type="dxa" w:w="4860"/>
            <w:tcMar>
              <w:top w:type="dxa" w:w="95"/>
              <w:left w:type="dxa" w:w="135"/>
              <w:bottom w:type="dxa" w:w="95"/>
              <w:right w:type="dxa" w:w="135"/>
            </w:tcMar>
          </w:tcPr>
          <w:p>
            <w:r>
              <w:rPr>
                <w:rFonts w:ascii="Consolas" w:cs="Consolas" w:eastAsia="Consolas" w:hAnsi="Consolas"/>
                <w:sz w:val="18"/>
                <w:szCs w:val="18"/>
              </w:rPr>
              <w:t xml:space="preserve">[{code, poa, ccmcc}, …]</w:t>
            </w:r>
          </w:p>
        </w:tc>
      </w:tr>
      <w:tr>
        <w:tc>
          <w:tcPr>
            <w:tcW w:type="dxa" w:w="3300"/>
            <w:tcMar>
              <w:top w:type="dxa" w:w="95"/>
              <w:left w:type="dxa" w:w="135"/>
              <w:bottom w:type="dxa" w:w="95"/>
              <w:right w:type="dxa" w:w="135"/>
            </w:tcMar>
          </w:tcPr>
          <w:p>
            <w:r>
              <w:rPr>
                <w:rFonts w:ascii="Consolas" w:cs="Consolas" w:eastAsia="Consolas" w:hAnsi="Consolas"/>
                <w:sz w:val="18"/>
                <w:szCs w:val="18"/>
              </w:rPr>
              <w:t xml:space="preserve">pcs</w:t>
            </w:r>
          </w:p>
        </w:tc>
        <w:tc>
          <w:tcPr>
            <w:tcW w:type="dxa" w:w="1200"/>
            <w:tcMar>
              <w:top w:type="dxa" w:w="95"/>
              <w:left w:type="dxa" w:w="135"/>
              <w:bottom w:type="dxa" w:w="95"/>
              <w:right w:type="dxa" w:w="135"/>
            </w:tcMar>
          </w:tcPr>
          <w:p>
            <w:r>
              <w:rPr>
                <w:sz w:val="20"/>
                <w:szCs w:val="20"/>
              </w:rPr>
              <w:t xml:space="preserve">JSON</w:t>
            </w:r>
          </w:p>
        </w:tc>
        <w:tc>
          <w:tcPr>
            <w:tcW w:type="dxa" w:w="4860"/>
            <w:tcMar>
              <w:top w:type="dxa" w:w="95"/>
              <w:left w:type="dxa" w:w="135"/>
              <w:bottom w:type="dxa" w:w="95"/>
              <w:right w:type="dxa" w:w="135"/>
            </w:tcMar>
          </w:tcPr>
          <w:p>
            <w:r>
              <w:rPr>
                <w:rFonts w:ascii="Consolas" w:cs="Consolas" w:eastAsia="Consolas" w:hAnsi="Consolas"/>
                <w:sz w:val="18"/>
                <w:szCs w:val="18"/>
              </w:rPr>
              <w:t xml:space="preserve">[{code}, …]</w:t>
            </w:r>
            <w:r>
              <w:rPr>
                <w:sz w:val="20"/>
                <w:szCs w:val="20"/>
              </w:rPr>
              <w:t xml:space="preserve"> — inpatient procedures</w:t>
            </w:r>
          </w:p>
        </w:tc>
      </w:tr>
      <w:tr>
        <w:tc>
          <w:tcPr>
            <w:tcW w:type="dxa" w:w="3300"/>
            <w:tcMar>
              <w:top w:type="dxa" w:w="95"/>
              <w:left w:type="dxa" w:w="135"/>
              <w:bottom w:type="dxa" w:w="95"/>
              <w:right w:type="dxa" w:w="135"/>
            </w:tcMar>
          </w:tcPr>
          <w:p>
            <w:r>
              <w:rPr>
                <w:rFonts w:ascii="Consolas" w:cs="Consolas" w:eastAsia="Consolas" w:hAnsi="Consolas"/>
                <w:sz w:val="18"/>
                <w:szCs w:val="18"/>
              </w:rPr>
              <w:t xml:space="preserve">cpt</w:t>
            </w:r>
          </w:p>
        </w:tc>
        <w:tc>
          <w:tcPr>
            <w:tcW w:type="dxa" w:w="1200"/>
            <w:tcMar>
              <w:top w:type="dxa" w:w="95"/>
              <w:left w:type="dxa" w:w="135"/>
              <w:bottom w:type="dxa" w:w="95"/>
              <w:right w:type="dxa" w:w="135"/>
            </w:tcMar>
          </w:tcPr>
          <w:p>
            <w:r>
              <w:rPr>
                <w:sz w:val="20"/>
                <w:szCs w:val="20"/>
              </w:rPr>
              <w:t xml:space="preserve">JSON</w:t>
            </w:r>
          </w:p>
        </w:tc>
        <w:tc>
          <w:tcPr>
            <w:tcW w:type="dxa" w:w="4860"/>
            <w:tcMar>
              <w:top w:type="dxa" w:w="95"/>
              <w:left w:type="dxa" w:w="135"/>
              <w:bottom w:type="dxa" w:w="95"/>
              <w:right w:type="dxa" w:w="135"/>
            </w:tcMar>
          </w:tcPr>
          <w:p>
            <w:r>
              <w:rPr>
                <w:rFonts w:ascii="Consolas" w:cs="Consolas" w:eastAsia="Consolas" w:hAnsi="Consolas"/>
                <w:sz w:val="18"/>
                <w:szCs w:val="18"/>
              </w:rPr>
              <w:t xml:space="preserve">[{code, modifier, pointers, units}, …]</w:t>
            </w:r>
          </w:p>
        </w:tc>
      </w:tr>
      <w:tr>
        <w:tc>
          <w:tcPr>
            <w:tcW w:type="dxa" w:w="3300"/>
            <w:tcMar>
              <w:top w:type="dxa" w:w="95"/>
              <w:left w:type="dxa" w:w="135"/>
              <w:bottom w:type="dxa" w:w="95"/>
              <w:right w:type="dxa" w:w="135"/>
            </w:tcMar>
          </w:tcPr>
          <w:p>
            <w:r>
              <w:rPr>
                <w:rFonts w:ascii="Consolas" w:cs="Consolas" w:eastAsia="Consolas" w:hAnsi="Consolas"/>
                <w:sz w:val="18"/>
                <w:szCs w:val="18"/>
              </w:rPr>
              <w:t xml:space="preserve">facility_level, profee_level</w:t>
            </w:r>
          </w:p>
        </w:tc>
        <w:tc>
          <w:tcPr>
            <w:tcW w:type="dxa" w:w="1200"/>
            <w:tcMar>
              <w:top w:type="dxa" w:w="95"/>
              <w:left w:type="dxa" w:w="135"/>
              <w:bottom w:type="dxa" w:w="95"/>
              <w:right w:type="dxa" w:w="135"/>
            </w:tcMar>
          </w:tcPr>
          <w:p>
            <w:r>
              <w:rPr>
                <w:sz w:val="20"/>
                <w:szCs w:val="20"/>
              </w:rPr>
              <w:t xml:space="preserve">text</w:t>
            </w:r>
          </w:p>
        </w:tc>
        <w:tc>
          <w:tcPr>
            <w:tcW w:type="dxa" w:w="4860"/>
            <w:tcMar>
              <w:top w:type="dxa" w:w="95"/>
              <w:left w:type="dxa" w:w="135"/>
              <w:bottom w:type="dxa" w:w="95"/>
              <w:right w:type="dxa" w:w="135"/>
            </w:tcMar>
          </w:tcPr>
          <w:p>
            <w:r>
              <w:rPr>
                <w:sz w:val="20"/>
                <w:szCs w:val="20"/>
              </w:rPr>
              <w:t xml:space="preserve">ED Single Path specialty only</w:t>
            </w:r>
          </w:p>
        </w:tc>
      </w:tr>
    </w:tbl>
    <w:p>
      <w:pPr>
        <w:spacing w:after="130" w:line="285"/>
      </w:pPr>
      <w:r>
        <w:rPr>
          <w:sz w:val="21"/>
          <w:szCs w:val="21"/>
        </w:rPr>
        <w:t xml:space="preserve">E/M answer keys → </w:t>
      </w:r>
      <w:r>
        <w:rPr>
          <w:rFonts w:ascii="Consolas" w:cs="Consolas" w:eastAsia="Consolas" w:hAnsi="Consolas"/>
          <w:color w:val="7B1FA2"/>
          <w:sz w:val="19"/>
          <w:szCs w:val="19"/>
        </w:rPr>
        <w:t xml:space="preserve">em_answer_keys</w:t>
      </w:r>
      <w:r>
        <w:rPr>
          <w:sz w:val="21"/>
          <w:szCs w:val="21"/>
        </w:rPr>
        <w:t xml:space="preserve">, one row per chart across 47 columns: medical decision-making element counts, derived complexity levels, E/M code and modifier, encounter category, critical care minutes, and diagnosis and procedure codes as JSON.</w:t>
      </w:r>
    </w:p>
    <w:p>
      <w:pPr>
        <w:spacing w:after="130" w:line="285"/>
      </w:pPr>
      <w:r>
        <w:rPr>
          <w:sz w:val="21"/>
          <w:szCs w:val="21"/>
        </w:rPr>
        <w:t xml:space="preserve">Assessment questions → </w:t>
      </w:r>
      <w:r>
        <w:rPr>
          <w:rFonts w:ascii="Consolas" w:cs="Consolas" w:eastAsia="Consolas" w:hAnsi="Consolas"/>
          <w:color w:val="7B1FA2"/>
          <w:sz w:val="19"/>
          <w:szCs w:val="19"/>
        </w:rPr>
        <w:t xml:space="preserve">assessment_questions</w:t>
      </w:r>
      <w:r>
        <w:rPr>
          <w:sz w:val="21"/>
          <w:szCs w:val="21"/>
        </w:rPr>
        <w:t xml:space="preserve">, one row per question: question text, four options, correct answer, specialty, topic, difficulty and status.</w:t>
      </w:r>
    </w:p>
    <w:p>
      <w:pPr>
        <w:pStyle w:val="Heading3"/>
        <w:spacing w:after="110" w:before="220"/>
      </w:pPr>
      <w:r>
        <w:rPr>
          <w:b/>
          <w:bCs/>
          <w:color w:val="2E75B6"/>
          <w:sz w:val="22"/>
          <w:szCs w:val="22"/>
        </w:rPr>
        <w:t xml:space="preserve">JSON columns</w:t>
      </w:r>
    </w:p>
    <w:p>
      <w:pPr>
        <w:spacing w:after="130" w:line="285"/>
      </w:pPr>
      <w:r>
        <w:rPr>
          <w:sz w:val="21"/>
          <w:szCs w:val="21"/>
        </w:rPr>
        <w:t xml:space="preserve">19 columns across the schema are typed </w:t>
      </w:r>
      <w:r>
        <w:rPr>
          <w:rFonts w:ascii="Consolas" w:cs="Consolas" w:eastAsia="Consolas" w:hAnsi="Consolas"/>
          <w:color w:val="7B1FA2"/>
          <w:sz w:val="19"/>
          <w:szCs w:val="19"/>
        </w:rPr>
        <w:t xml:space="preserve">JSON</w:t>
      </w:r>
      <w:r>
        <w:rPr>
          <w:sz w:val="21"/>
          <w:szCs w:val="21"/>
        </w:rPr>
        <w:t xml:space="preserve">. Under PostgreSQL these are native JSON columns and are queryable with JSON operators. Their internal structure is defined by the application rather than enforced by the schema; the shapes above are authoritative.</w:t>
      </w:r>
    </w:p>
    <w:p>
      <w:r>
        <w:br w:type="page"/>
      </w:r>
    </w:p>
    <w:p>
      <w:pPr>
        <w:pStyle w:val="Heading2"/>
        <w:spacing w:after="130" w:before="300"/>
      </w:pPr>
      <w:r>
        <w:rPr>
          <w:b/>
          <w:bCs/>
          <w:color w:val="1F3864"/>
          <w:sz w:val="24"/>
          <w:szCs w:val="24"/>
        </w:rPr>
        <w:t xml:space="preserve">2.3 Schema map</w:t>
      </w:r>
    </w:p>
    <w:p>
      <w:pPr>
        <w:spacing w:after="90" w:before="20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10000"/>
                    </a:xfrm>
                    <a:prstGeom prst="rect">
                      <a:avLst/>
                    </a:prstGeom>
                  </pic:spPr>
                </pic:pic>
              </a:graphicData>
            </a:graphic>
          </wp:inline>
        </w:drawing>
      </w:r>
    </w:p>
    <w:p>
      <w:pPr>
        <w:spacing w:after="220"/>
        <w:jc w:val="center"/>
      </w:pPr>
      <w:r>
        <w:rPr>
          <w:i/>
          <w:iCs/>
          <w:color w:val="595959"/>
          <w:sz w:val="18"/>
          <w:szCs w:val="18"/>
        </w:rPr>
        <w:t xml:space="preserve">Figure 3 — The 32 tables, grouped by functional domain</w:t>
      </w:r>
    </w:p>
    <w:p>
      <w:pPr>
        <w:spacing w:after="130" w:line="285"/>
      </w:pPr>
      <w:r>
        <w:rPr>
          <w:sz w:val="21"/>
          <w:szCs w:val="21"/>
        </w:rPr>
        <w:t xml:space="preserve">The schema divides into five domains. The Chart Library is referenced by the PracticeLab domains; the Assessment domain is independent of charts entirely, as assessments are multiple-choice papers rather than coding work.</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Six tables are absent from the ORM models</w:t>
            </w:r>
          </w:p>
          <w:p>
            <w:pPr>
              <w:spacing w:after="65" w:line="285"/>
            </w:pPr>
            <w:r>
              <w:rPr>
                <w:rFonts w:ascii="Consolas" w:cs="Consolas" w:eastAsia="Consolas" w:hAnsi="Consolas"/>
                <w:sz w:val="19"/>
                <w:szCs w:val="19"/>
              </w:rPr>
              <w:t xml:space="preserve">em_answer_keys, em_grading_results, em_scoring_configs, practice_sessions, practice_chart_drafts, practice_results</w:t>
            </w:r>
            <w:r>
              <w:rPr>
                <w:sz w:val="21"/>
                <w:szCs w:val="21"/>
              </w:rPr>
              <w:t xml:space="preserve"> are created by raw migration DDL only.</w:t>
            </w:r>
          </w:p>
          <w:p>
            <w:pPr>
              <w:spacing w:after="65" w:line="285"/>
            </w:pPr>
            <w:r>
              <w:rPr>
                <w:b/>
                <w:bCs/>
                <w:sz w:val="21"/>
                <w:szCs w:val="21"/>
              </w:rPr>
              <w:t xml:space="preserve">A schema generated from the SQLAlchemy models alone will appear correct and will be missing the entire E/M grading and practice-session subsystems.</w:t>
            </w:r>
          </w:p>
        </w:tc>
      </w:tr>
    </w:tbl>
    <w:p>
      <w:r>
        <w:br w:type="page"/>
      </w:r>
    </w:p>
    <w:p>
      <w:pPr>
        <w:pStyle w:val="Heading1"/>
        <w:spacing w:after="170" w:before="400"/>
      </w:pPr>
      <w:r>
        <w:rPr>
          <w:b/>
          <w:bCs/>
          <w:color w:val="1F3864"/>
          <w:sz w:val="30"/>
          <w:szCs w:val="30"/>
        </w:rPr>
        <w:t xml:space="preserve">3. Object storage</w:t>
      </w:r>
    </w:p>
    <w:p>
      <w:pPr>
        <w:pStyle w:val="Heading2"/>
        <w:spacing w:after="130" w:before="300"/>
      </w:pPr>
      <w:r>
        <w:rPr>
          <w:b/>
          <w:bCs/>
          <w:color w:val="1F3864"/>
          <w:sz w:val="24"/>
          <w:szCs w:val="24"/>
        </w:rPr>
        <w:t xml:space="preserve">3.1 Current implementation</w:t>
      </w:r>
    </w:p>
    <w:p>
      <w:pPr>
        <w:spacing w:after="130" w:line="285"/>
      </w:pPr>
      <w:r>
        <w:rPr>
          <w:sz w:val="21"/>
          <w:szCs w:val="21"/>
        </w:rPr>
        <w:t xml:space="preserve">The bucket is currently hosted on Cloudflare R2, which exposes an S3-compatible API. The application uses the boto3 AWS SDK with a configurable endpoint:</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boto3.client(</w:t>
      </w:r>
      <w:r>
        <w:br/>
      </w:r>
      <w:r>
        <w:rPr>
          <w:rFonts w:ascii="Consolas" w:cs="Consolas" w:eastAsia="Consolas" w:hAnsi="Consolas"/>
          <w:sz w:val="18"/>
          <w:szCs w:val="18"/>
        </w:rPr>
        <w:t xml:space="preserve">    "s3",</w:t>
      </w:r>
      <w:r>
        <w:br/>
      </w:r>
      <w:r>
        <w:rPr>
          <w:rFonts w:ascii="Consolas" w:cs="Consolas" w:eastAsia="Consolas" w:hAnsi="Consolas"/>
          <w:sz w:val="18"/>
          <w:szCs w:val="18"/>
        </w:rPr>
        <w:t xml:space="preserve">    endpoint_url=settings.STORAGE_ENDPOINT_URL,</w:t>
      </w:r>
      <w:r>
        <w:br/>
      </w:r>
      <w:r>
        <w:rPr>
          <w:rFonts w:ascii="Consolas" w:cs="Consolas" w:eastAsia="Consolas" w:hAnsi="Consolas"/>
          <w:sz w:val="18"/>
          <w:szCs w:val="18"/>
        </w:rPr>
        <w:t xml:space="preserve">    aws_access_key_id=settings.STORAGE_ACCESS_KEY,</w:t>
      </w:r>
      <w:r>
        <w:br/>
      </w:r>
      <w:r>
        <w:rPr>
          <w:rFonts w:ascii="Consolas" w:cs="Consolas" w:eastAsia="Consolas" w:hAnsi="Consolas"/>
          <w:sz w:val="18"/>
          <w:szCs w:val="18"/>
        </w:rPr>
        <w:t xml:space="preserve">    aws_secret_access_key=settings.STORAGE_SECRET_KEY,</w:t>
      </w:r>
      <w:r>
        <w:br/>
      </w:r>
      <w:r>
        <w:rPr>
          <w:rFonts w:ascii="Consolas" w:cs="Consolas" w:eastAsia="Consolas" w:hAnsi="Consolas"/>
          <w:sz w:val="18"/>
          <w:szCs w:val="18"/>
        </w:rPr>
        <w:t xml:space="preserve">    config=Config(signature_version="s3v4"),</w:t>
      </w:r>
      <w:r>
        <w:br/>
      </w:r>
      <w:r>
        <w:rPr>
          <w:rFonts w:ascii="Consolas" w:cs="Consolas" w:eastAsia="Consolas" w:hAnsi="Consolas"/>
          <w:sz w:val="18"/>
          <w:szCs w:val="18"/>
        </w:rPr>
        <w:t xml:space="preserve">)</w:t>
      </w:r>
    </w:p>
    <w:p>
      <w:pPr>
        <w:pStyle w:val="Heading3"/>
        <w:spacing w:after="110" w:before="220"/>
      </w:pPr>
      <w:r>
        <w:rPr>
          <w:b/>
          <w:bCs/>
          <w:color w:val="2E75B6"/>
          <w:sz w:val="22"/>
          <w:szCs w:val="22"/>
        </w:rPr>
        <w:t xml:space="preserve">Values required from the current provider</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2900"/>
        <w:gridCol w:w="3860"/>
      </w:tblGrid>
      <w:tr>
        <w:trPr>
          <w:tblHeader/>
        </w:trPr>
        <w:tc>
          <w:tcPr>
            <w:tcW w:type="dxa" w:w="2600"/>
            <w:shd w:fill="DCE6F1" w:val="clear"/>
            <w:tcMar>
              <w:top w:type="dxa" w:w="95"/>
              <w:left w:type="dxa" w:w="135"/>
              <w:bottom w:type="dxa" w:w="95"/>
              <w:right w:type="dxa" w:w="135"/>
            </w:tcMar>
          </w:tcPr>
          <w:p>
            <w:r>
              <w:rPr>
                <w:b/>
                <w:bCs/>
                <w:color w:val="1F3864"/>
                <w:sz w:val="20"/>
                <w:szCs w:val="20"/>
              </w:rPr>
              <w:t xml:space="preserve">Value</w:t>
            </w:r>
          </w:p>
        </w:tc>
        <w:tc>
          <w:tcPr>
            <w:tcW w:type="dxa" w:w="2900"/>
            <w:shd w:fill="DCE6F1" w:val="clear"/>
            <w:tcMar>
              <w:top w:type="dxa" w:w="95"/>
              <w:left w:type="dxa" w:w="135"/>
              <w:bottom w:type="dxa" w:w="95"/>
              <w:right w:type="dxa" w:w="135"/>
            </w:tcMar>
          </w:tcPr>
          <w:p>
            <w:r>
              <w:rPr>
                <w:b/>
                <w:bCs/>
                <w:color w:val="1F3864"/>
                <w:sz w:val="20"/>
                <w:szCs w:val="20"/>
              </w:rPr>
              <w:t xml:space="preserve">Source</w:t>
            </w:r>
          </w:p>
        </w:tc>
        <w:tc>
          <w:tcPr>
            <w:tcW w:type="dxa" w:w="3860"/>
            <w:shd w:fill="DCE6F1" w:val="clear"/>
            <w:tcMar>
              <w:top w:type="dxa" w:w="95"/>
              <w:left w:type="dxa" w:w="135"/>
              <w:bottom w:type="dxa" w:w="95"/>
              <w:right w:type="dxa" w:w="135"/>
            </w:tcMar>
          </w:tcPr>
          <w:p>
            <w:r>
              <w:rPr>
                <w:b/>
                <w:bCs/>
                <w:color w:val="1F3864"/>
                <w:sz w:val="20"/>
                <w:szCs w:val="20"/>
              </w:rPr>
              <w:t xml:space="preserve">Environment variable</w:t>
            </w:r>
          </w:p>
        </w:tc>
      </w:tr>
      <w:tr>
        <w:tc>
          <w:tcPr>
            <w:tcW w:type="dxa" w:w="2600"/>
            <w:tcMar>
              <w:top w:type="dxa" w:w="95"/>
              <w:left w:type="dxa" w:w="135"/>
              <w:bottom w:type="dxa" w:w="95"/>
              <w:right w:type="dxa" w:w="135"/>
            </w:tcMar>
          </w:tcPr>
          <w:p>
            <w:r>
              <w:rPr>
                <w:sz w:val="20"/>
                <w:szCs w:val="20"/>
              </w:rPr>
              <w:t xml:space="preserve">Account identifier</w:t>
            </w:r>
          </w:p>
        </w:tc>
        <w:tc>
          <w:tcPr>
            <w:tcW w:type="dxa" w:w="2900"/>
            <w:tcMar>
              <w:top w:type="dxa" w:w="95"/>
              <w:left w:type="dxa" w:w="135"/>
              <w:bottom w:type="dxa" w:w="95"/>
              <w:right w:type="dxa" w:w="135"/>
            </w:tcMar>
          </w:tcPr>
          <w:p>
            <w:r>
              <w:rPr>
                <w:sz w:val="20"/>
                <w:szCs w:val="20"/>
              </w:rPr>
              <w:t xml:space="preserve">Cloudflare dashboard → R2</w:t>
            </w:r>
          </w:p>
        </w:tc>
        <w:tc>
          <w:tcPr>
            <w:tcW w:type="dxa" w:w="3860"/>
            <w:tcMar>
              <w:top w:type="dxa" w:w="95"/>
              <w:left w:type="dxa" w:w="135"/>
              <w:bottom w:type="dxa" w:w="95"/>
              <w:right w:type="dxa" w:w="135"/>
            </w:tcMar>
          </w:tcPr>
          <w:p>
            <w:r>
              <w:rPr>
                <w:rFonts w:ascii="Consolas" w:cs="Consolas" w:eastAsia="Consolas" w:hAnsi="Consolas"/>
                <w:sz w:val="18"/>
                <w:szCs w:val="18"/>
              </w:rPr>
              <w:t xml:space="preserve">Forms part of STORAGE_ENDPOINT_URL</w:t>
            </w:r>
          </w:p>
        </w:tc>
      </w:tr>
      <w:tr>
        <w:tc>
          <w:tcPr>
            <w:tcW w:type="dxa" w:w="2600"/>
            <w:tcMar>
              <w:top w:type="dxa" w:w="95"/>
              <w:left w:type="dxa" w:w="135"/>
              <w:bottom w:type="dxa" w:w="95"/>
              <w:right w:type="dxa" w:w="135"/>
            </w:tcMar>
          </w:tcPr>
          <w:p>
            <w:r>
              <w:rPr>
                <w:sz w:val="20"/>
                <w:szCs w:val="20"/>
              </w:rPr>
              <w:t xml:space="preserve">Access key ID and secret</w:t>
            </w:r>
          </w:p>
        </w:tc>
        <w:tc>
          <w:tcPr>
            <w:tcW w:type="dxa" w:w="2900"/>
            <w:tcMar>
              <w:top w:type="dxa" w:w="95"/>
              <w:left w:type="dxa" w:w="135"/>
              <w:bottom w:type="dxa" w:w="95"/>
              <w:right w:type="dxa" w:w="135"/>
            </w:tcMar>
          </w:tcPr>
          <w:p>
            <w:r>
              <w:rPr>
                <w:sz w:val="20"/>
                <w:szCs w:val="20"/>
              </w:rPr>
              <w:t xml:space="preserve">R2 → Manage API Tokens</w:t>
            </w:r>
          </w:p>
        </w:tc>
        <w:tc>
          <w:tcPr>
            <w:tcW w:type="dxa" w:w="3860"/>
            <w:tcMar>
              <w:top w:type="dxa" w:w="95"/>
              <w:left w:type="dxa" w:w="135"/>
              <w:bottom w:type="dxa" w:w="95"/>
              <w:right w:type="dxa" w:w="135"/>
            </w:tcMar>
          </w:tcPr>
          <w:p>
            <w:r>
              <w:rPr>
                <w:rFonts w:ascii="Consolas" w:cs="Consolas" w:eastAsia="Consolas" w:hAnsi="Consolas"/>
                <w:sz w:val="18"/>
                <w:szCs w:val="18"/>
              </w:rPr>
              <w:t xml:space="preserve">STORAGE_ACCESS_KEY, STORAGE_SECRET_KEY</w:t>
            </w:r>
          </w:p>
        </w:tc>
      </w:tr>
      <w:tr>
        <w:tc>
          <w:tcPr>
            <w:tcW w:type="dxa" w:w="2600"/>
            <w:tcMar>
              <w:top w:type="dxa" w:w="95"/>
              <w:left w:type="dxa" w:w="135"/>
              <w:bottom w:type="dxa" w:w="95"/>
              <w:right w:type="dxa" w:w="135"/>
            </w:tcMar>
          </w:tcPr>
          <w:p>
            <w:r>
              <w:rPr>
                <w:sz w:val="20"/>
                <w:szCs w:val="20"/>
              </w:rPr>
              <w:t xml:space="preserve">Bucket name</w:t>
            </w:r>
          </w:p>
        </w:tc>
        <w:tc>
          <w:tcPr>
            <w:tcW w:type="dxa" w:w="2900"/>
            <w:tcMar>
              <w:top w:type="dxa" w:w="95"/>
              <w:left w:type="dxa" w:w="135"/>
              <w:bottom w:type="dxa" w:w="95"/>
              <w:right w:type="dxa" w:w="135"/>
            </w:tcMar>
          </w:tcPr>
          <w:p>
            <w:r>
              <w:rPr>
                <w:sz w:val="20"/>
                <w:szCs w:val="20"/>
              </w:rPr>
              <w:t xml:space="preserve">R2 → Buckets</w:t>
            </w:r>
          </w:p>
        </w:tc>
        <w:tc>
          <w:tcPr>
            <w:tcW w:type="dxa" w:w="3860"/>
            <w:tcMar>
              <w:top w:type="dxa" w:w="95"/>
              <w:left w:type="dxa" w:w="135"/>
              <w:bottom w:type="dxa" w:w="95"/>
              <w:right w:type="dxa" w:w="135"/>
            </w:tcMar>
          </w:tcPr>
          <w:p>
            <w:r>
              <w:rPr>
                <w:rFonts w:ascii="Consolas" w:cs="Consolas" w:eastAsia="Consolas" w:hAnsi="Consolas"/>
                <w:sz w:val="18"/>
                <w:szCs w:val="18"/>
              </w:rPr>
              <w:t xml:space="preserve">STORAGE_BUCKET_NAME</w:t>
            </w:r>
          </w:p>
        </w:tc>
      </w:tr>
    </w:tbl>
    <w:p>
      <w:pPr>
        <w:pBdr>
          <w:left w:val="single" w:color="2E75B6" w:sz="12" w:space="6"/>
        </w:pBdr>
        <w:shd w:fill="F2F2F2" w:val="clear"/>
        <w:spacing w:after="150" w:before="110" w:line="265"/>
        <w:ind w:left="130"/>
      </w:pPr>
      <w:r>
        <w:rPr>
          <w:rFonts w:ascii="Consolas" w:cs="Consolas" w:eastAsia="Consolas" w:hAnsi="Consolas"/>
          <w:sz w:val="18"/>
          <w:szCs w:val="18"/>
        </w:rPr>
        <w:t xml:space="preserve">endpoint format:  https://&lt;ACCOUNT_ID&gt;.r2.cloudflarestorage.com</w:t>
      </w:r>
    </w:p>
    <w:tbl>
      <w:tblPr>
        <w:tblW w:type="dxa" w:w="9360"/>
        <w:tblBorders>
          <w:top w:val="single" w:color="2E75B6" w:sz="4"/>
          <w:left w:val="single" w:color="2E75B6" w:sz="18"/>
          <w:bottom w:val="single" w:color="2E75B6" w:sz="4"/>
          <w:right w:val="single" w:color="2E75B6" w:sz="4"/>
          <w:insideH w:val="single" w:color="auto" w:sz="4"/>
          <w:insideV w:val="single" w:color="auto" w:sz="4"/>
        </w:tblBorders>
      </w:tblPr>
      <w:tblGrid>
        <w:gridCol w:w="9360"/>
      </w:tblGrid>
      <w:tr>
        <w:tc>
          <w:tcPr>
            <w:tcW w:type="dxa" w:w="9360"/>
            <w:shd w:fill="EEF4FB" w:val="clear"/>
            <w:tcMar>
              <w:top w:type="dxa" w:w="150"/>
              <w:left w:type="dxa" w:w="190"/>
              <w:bottom w:type="dxa" w:w="150"/>
              <w:right w:type="dxa" w:w="190"/>
            </w:tcMar>
          </w:tcPr>
          <w:p>
            <w:pPr>
              <w:spacing w:after="85"/>
            </w:pPr>
            <w:r>
              <w:rPr>
                <w:b/>
                <w:bCs/>
                <w:color w:val="1F3864"/>
                <w:sz w:val="21"/>
                <w:szCs w:val="21"/>
              </w:rPr>
              <w:t xml:space="preserve">API token secrets are displayed once, at creation</w:t>
            </w:r>
          </w:p>
          <w:p>
            <w:pPr>
              <w:spacing w:after="65" w:line="285"/>
            </w:pPr>
            <w:r>
              <w:rPr>
                <w:sz w:val="21"/>
                <w:szCs w:val="21"/>
              </w:rPr>
              <w:t xml:space="preserve">A secret that has not been recorded cannot be retrieved. Issue a replacement token instead.</w:t>
            </w:r>
          </w:p>
          <w:p>
            <w:pPr>
              <w:spacing w:after="65" w:line="285"/>
            </w:pPr>
            <w:r>
              <w:rPr>
                <w:sz w:val="21"/>
                <w:szCs w:val="21"/>
              </w:rPr>
              <w:t xml:space="preserve">Tokens are independent of stored data: issuing or revoking a token does not affect objects in the bucket.</w:t>
            </w:r>
          </w:p>
          <w:p>
            <w:pPr>
              <w:spacing w:after="65" w:line="285"/>
            </w:pPr>
            <w:r>
              <w:rPr>
                <w:sz w:val="21"/>
                <w:szCs w:val="21"/>
              </w:rPr>
              <w:t xml:space="preserve">Required permissions: read and write. The application writes on chart upload, reads on chart view, and deletes on chart removal.</w:t>
            </w:r>
          </w:p>
        </w:tc>
      </w:tr>
    </w:tbl>
    <w:p>
      <w:pPr>
        <w:pStyle w:val="Heading2"/>
        <w:spacing w:after="130" w:before="300"/>
      </w:pPr>
      <w:r>
        <w:rPr>
          <w:b/>
          <w:bCs/>
          <w:color w:val="1F3864"/>
          <w:sz w:val="24"/>
          <w:szCs w:val="24"/>
        </w:rPr>
        <w:t xml:space="preserve">3.2 Requirements of a storage backend</w:t>
      </w:r>
    </w:p>
    <w:p>
      <w:pPr>
        <w:spacing w:after="130" w:line="285"/>
      </w:pPr>
      <w:r>
        <w:rPr>
          <w:sz w:val="21"/>
          <w:szCs w:val="21"/>
        </w:rPr>
        <w:t xml:space="preserve">The application performs three storage operations: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900"/>
        <w:gridCol w:w="6460"/>
      </w:tblGrid>
      <w:tr>
        <w:trPr>
          <w:tblHeader/>
        </w:trPr>
        <w:tc>
          <w:tcPr>
            <w:tcW w:type="dxa" w:w="2900"/>
            <w:shd w:fill="DCE6F1" w:val="clear"/>
            <w:tcMar>
              <w:top w:type="dxa" w:w="95"/>
              <w:left w:type="dxa" w:w="135"/>
              <w:bottom w:type="dxa" w:w="95"/>
              <w:right w:type="dxa" w:w="135"/>
            </w:tcMar>
          </w:tcPr>
          <w:p>
            <w:r>
              <w:rPr>
                <w:b/>
                <w:bCs/>
                <w:color w:val="1F3864"/>
                <w:sz w:val="20"/>
                <w:szCs w:val="20"/>
              </w:rPr>
              <w:t xml:space="preserve">Operation</w:t>
            </w:r>
          </w:p>
        </w:tc>
        <w:tc>
          <w:tcPr>
            <w:tcW w:type="dxa" w:w="6460"/>
            <w:shd w:fill="DCE6F1" w:val="clear"/>
            <w:tcMar>
              <w:top w:type="dxa" w:w="95"/>
              <w:left w:type="dxa" w:w="135"/>
              <w:bottom w:type="dxa" w:w="95"/>
              <w:right w:type="dxa" w:w="135"/>
            </w:tcMar>
          </w:tcPr>
          <w:p>
            <w:r>
              <w:rPr>
                <w:b/>
                <w:bCs/>
                <w:color w:val="1F3864"/>
                <w:sz w:val="20"/>
                <w:szCs w:val="20"/>
              </w:rPr>
              <w:t xml:space="preserve">Invoked when</w:t>
            </w:r>
          </w:p>
        </w:tc>
      </w:tr>
      <w:tr>
        <w:tc>
          <w:tcPr>
            <w:tcW w:type="dxa" w:w="2900"/>
            <w:tcMar>
              <w:top w:type="dxa" w:w="95"/>
              <w:left w:type="dxa" w:w="135"/>
              <w:bottom w:type="dxa" w:w="95"/>
              <w:right w:type="dxa" w:w="135"/>
            </w:tcMar>
          </w:tcPr>
          <w:p>
            <w:r>
              <w:rPr>
                <w:rFonts w:ascii="Consolas" w:cs="Consolas" w:eastAsia="Consolas" w:hAnsi="Consolas"/>
                <w:sz w:val="18"/>
                <w:szCs w:val="18"/>
              </w:rPr>
              <w:t xml:space="preserve">put_object</w:t>
            </w:r>
          </w:p>
        </w:tc>
        <w:tc>
          <w:tcPr>
            <w:tcW w:type="dxa" w:w="6460"/>
            <w:tcMar>
              <w:top w:type="dxa" w:w="95"/>
              <w:left w:type="dxa" w:w="135"/>
              <w:bottom w:type="dxa" w:w="95"/>
              <w:right w:type="dxa" w:w="135"/>
            </w:tcMar>
          </w:tcPr>
          <w:p>
            <w:r>
              <w:rPr>
                <w:sz w:val="20"/>
                <w:szCs w:val="20"/>
              </w:rPr>
              <w:t xml:space="preserve">A chart is uploaded — one call per page</w:t>
            </w:r>
          </w:p>
        </w:tc>
      </w:tr>
      <w:tr>
        <w:tc>
          <w:tcPr>
            <w:tcW w:type="dxa" w:w="2900"/>
            <w:tcMar>
              <w:top w:type="dxa" w:w="95"/>
              <w:left w:type="dxa" w:w="135"/>
              <w:bottom w:type="dxa" w:w="95"/>
              <w:right w:type="dxa" w:w="135"/>
            </w:tcMar>
          </w:tcPr>
          <w:p>
            <w:r>
              <w:rPr>
                <w:rFonts w:ascii="Consolas" w:cs="Consolas" w:eastAsia="Consolas" w:hAnsi="Consolas"/>
                <w:sz w:val="18"/>
                <w:szCs w:val="18"/>
              </w:rPr>
              <w:t xml:space="preserve">get_object</w:t>
            </w:r>
          </w:p>
        </w:tc>
        <w:tc>
          <w:tcPr>
            <w:tcW w:type="dxa" w:w="6460"/>
            <w:tcMar>
              <w:top w:type="dxa" w:w="95"/>
              <w:left w:type="dxa" w:w="135"/>
              <w:bottom w:type="dxa" w:w="95"/>
              <w:right w:type="dxa" w:w="135"/>
            </w:tcMar>
          </w:tcPr>
          <w:p>
            <w:r>
              <w:rPr>
                <w:sz w:val="20"/>
                <w:szCs w:val="20"/>
              </w:rPr>
              <w:t xml:space="preserve">A chart page is viewed</w:t>
            </w:r>
          </w:p>
        </w:tc>
      </w:tr>
      <w:tr>
        <w:tc>
          <w:tcPr>
            <w:tcW w:type="dxa" w:w="2900"/>
            <w:tcMar>
              <w:top w:type="dxa" w:w="95"/>
              <w:left w:type="dxa" w:w="135"/>
              <w:bottom w:type="dxa" w:w="95"/>
              <w:right w:type="dxa" w:w="135"/>
            </w:tcMar>
          </w:tcPr>
          <w:p>
            <w:r>
              <w:rPr>
                <w:rFonts w:ascii="Consolas" w:cs="Consolas" w:eastAsia="Consolas" w:hAnsi="Consolas"/>
                <w:sz w:val="18"/>
                <w:szCs w:val="18"/>
              </w:rPr>
              <w:t xml:space="preserve">delete_object</w:t>
            </w:r>
          </w:p>
        </w:tc>
        <w:tc>
          <w:tcPr>
            <w:tcW w:type="dxa" w:w="6460"/>
            <w:tcMar>
              <w:top w:type="dxa" w:w="95"/>
              <w:left w:type="dxa" w:w="135"/>
              <w:bottom w:type="dxa" w:w="95"/>
              <w:right w:type="dxa" w:w="135"/>
            </w:tcMar>
          </w:tcPr>
          <w:p>
            <w:r>
              <w:rPr>
                <w:sz w:val="20"/>
                <w:szCs w:val="20"/>
              </w:rPr>
              <w:t xml:space="preserve">A chart is removed</w:t>
            </w:r>
          </w:p>
        </w:tc>
      </w:tr>
    </w:tbl>
    <w:p>
      <w:pPr>
        <w:spacing w:after="130" w:line="285"/>
      </w:pPr>
      <w:r>
        <w:rPr>
          <w:sz w:val="21"/>
          <w:szCs w:val="21"/>
        </w:rPr>
        <w:t xml:space="preserve">No listing, multipart upload, versioning, lifecycle policy, access control list, bucket policy, object tagging or presigned URL generation is used. The application stores objects under keys and retrieves them.</w:t>
      </w:r>
    </w:p>
    <w:p>
      <w:pPr>
        <w:spacing w:after="130" w:line="285"/>
      </w:pPr>
      <w:r>
        <w:rPr>
          <w:b/>
          <w:bCs/>
          <w:sz w:val="21"/>
          <w:szCs w:val="21"/>
        </w:rPr>
        <w:t xml:space="preserve">The selection of a storage backend is therefore governed by existing organisational infrastructure rather than by any capability the application requires.</w:t>
      </w:r>
    </w:p>
    <w:p>
      <w:pPr>
        <w:pStyle w:val="Heading2"/>
        <w:spacing w:after="130" w:before="300"/>
      </w:pPr>
      <w:r>
        <w:rPr>
          <w:b/>
          <w:bCs/>
          <w:color w:val="1F3864"/>
          <w:sz w:val="24"/>
          <w:szCs w:val="24"/>
        </w:rPr>
        <w:t xml:space="preserve">3.3 Migration options by effort</w:t>
      </w:r>
    </w:p>
    <w:p>
      <w:pPr>
        <w:pStyle w:val="Heading3"/>
        <w:spacing w:after="110" w:before="220"/>
      </w:pPr>
      <w:r>
        <w:rPr>
          <w:b/>
          <w:bCs/>
          <w:color w:val="2E75B6"/>
          <w:sz w:val="22"/>
          <w:szCs w:val="22"/>
        </w:rPr>
        <w:t xml:space="preserve">Tier 1 — configuration only, no code change</w:t>
      </w:r>
    </w:p>
    <w:p>
      <w:pPr>
        <w:spacing w:after="130" w:line="285"/>
      </w:pPr>
      <w:r>
        <w:rPr>
          <w:sz w:val="21"/>
          <w:szCs w:val="21"/>
        </w:rPr>
        <w:t xml:space="preserve">Any S3-compatible service. The client already targets a non-AWS endpoint, so no code path changes.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700"/>
        <w:gridCol w:w="5660"/>
      </w:tblGrid>
      <w:tr>
        <w:trPr>
          <w:tblHeader/>
        </w:trPr>
        <w:tc>
          <w:tcPr>
            <w:tcW w:type="dxa" w:w="3700"/>
            <w:shd w:fill="DCE6F1" w:val="clear"/>
            <w:tcMar>
              <w:top w:type="dxa" w:w="95"/>
              <w:left w:type="dxa" w:w="135"/>
              <w:bottom w:type="dxa" w:w="95"/>
              <w:right w:type="dxa" w:w="135"/>
            </w:tcMar>
          </w:tcPr>
          <w:p>
            <w:r>
              <w:rPr>
                <w:b/>
                <w:bCs/>
                <w:color w:val="1F3864"/>
                <w:sz w:val="20"/>
                <w:szCs w:val="20"/>
              </w:rPr>
              <w:t xml:space="preserve">Option</w:t>
            </w:r>
          </w:p>
        </w:tc>
        <w:tc>
          <w:tcPr>
            <w:tcW w:type="dxa" w:w="5660"/>
            <w:shd w:fill="DCE6F1" w:val="clear"/>
            <w:tcMar>
              <w:top w:type="dxa" w:w="95"/>
              <w:left w:type="dxa" w:w="135"/>
              <w:bottom w:type="dxa" w:w="95"/>
              <w:right w:type="dxa" w:w="135"/>
            </w:tcMar>
          </w:tcPr>
          <w:p>
            <w:r>
              <w:rPr>
                <w:b/>
                <w:bCs/>
                <w:color w:val="1F3864"/>
                <w:sz w:val="20"/>
                <w:szCs w:val="20"/>
              </w:rPr>
              <w:t xml:space="preserve">Typical context</w:t>
            </w:r>
          </w:p>
        </w:tc>
      </w:tr>
      <w:tr>
        <w:tc>
          <w:tcPr>
            <w:tcW w:type="dxa" w:w="3700"/>
            <w:tcMar>
              <w:top w:type="dxa" w:w="95"/>
              <w:left w:type="dxa" w:w="135"/>
              <w:bottom w:type="dxa" w:w="95"/>
              <w:right w:type="dxa" w:w="135"/>
            </w:tcMar>
          </w:tcPr>
          <w:p>
            <w:r>
              <w:rPr>
                <w:b/>
                <w:bCs/>
                <w:sz w:val="20"/>
                <w:szCs w:val="20"/>
              </w:rPr>
              <w:t xml:space="preserve">AWS S3</w:t>
            </w:r>
          </w:p>
        </w:tc>
        <w:tc>
          <w:tcPr>
            <w:tcW w:type="dxa" w:w="5660"/>
            <w:tcMar>
              <w:top w:type="dxa" w:w="95"/>
              <w:left w:type="dxa" w:w="135"/>
              <w:bottom w:type="dxa" w:w="95"/>
              <w:right w:type="dxa" w:w="135"/>
            </w:tcMar>
          </w:tcPr>
          <w:p>
            <w:r>
              <w:rPr>
                <w:sz w:val="20"/>
                <w:szCs w:val="20"/>
              </w:rPr>
              <w:t xml:space="preserve">An existing AWS presence</w:t>
            </w:r>
          </w:p>
        </w:tc>
      </w:tr>
      <w:tr>
        <w:tc>
          <w:tcPr>
            <w:tcW w:type="dxa" w:w="3700"/>
            <w:tcMar>
              <w:top w:type="dxa" w:w="95"/>
              <w:left w:type="dxa" w:w="135"/>
              <w:bottom w:type="dxa" w:w="95"/>
              <w:right w:type="dxa" w:w="135"/>
            </w:tcMar>
          </w:tcPr>
          <w:p>
            <w:r>
              <w:rPr>
                <w:b/>
                <w:bCs/>
                <w:sz w:val="20"/>
                <w:szCs w:val="20"/>
              </w:rPr>
              <w:t xml:space="preserve">MinIO</w:t>
            </w:r>
          </w:p>
        </w:tc>
        <w:tc>
          <w:tcPr>
            <w:tcW w:type="dxa" w:w="5660"/>
            <w:tcMar>
              <w:top w:type="dxa" w:w="95"/>
              <w:left w:type="dxa" w:w="135"/>
              <w:bottom w:type="dxa" w:w="95"/>
              <w:right w:type="dxa" w:w="135"/>
            </w:tcMar>
          </w:tcPr>
          <w:p>
            <w:r>
              <w:rPr>
                <w:sz w:val="20"/>
                <w:szCs w:val="20"/>
              </w:rPr>
              <w:t xml:space="preserve">Self-hosted, on-premises or in Kubernetes. Common where data residency is mandated</w:t>
            </w:r>
          </w:p>
        </w:tc>
      </w:tr>
      <w:tr>
        <w:tc>
          <w:tcPr>
            <w:tcW w:type="dxa" w:w="3700"/>
            <w:tcMar>
              <w:top w:type="dxa" w:w="95"/>
              <w:left w:type="dxa" w:w="135"/>
              <w:bottom w:type="dxa" w:w="95"/>
              <w:right w:type="dxa" w:w="135"/>
            </w:tcMar>
          </w:tcPr>
          <w:p>
            <w:r>
              <w:rPr>
                <w:b/>
                <w:bCs/>
                <w:sz w:val="20"/>
                <w:szCs w:val="20"/>
              </w:rPr>
              <w:t xml:space="preserve">Ceph RADOS Gateway</w:t>
            </w:r>
          </w:p>
        </w:tc>
        <w:tc>
          <w:tcPr>
            <w:tcW w:type="dxa" w:w="5660"/>
            <w:tcMar>
              <w:top w:type="dxa" w:w="95"/>
              <w:left w:type="dxa" w:w="135"/>
              <w:bottom w:type="dxa" w:w="95"/>
              <w:right w:type="dxa" w:w="135"/>
            </w:tcMar>
          </w:tcPr>
          <w:p>
            <w:r>
              <w:rPr>
                <w:sz w:val="20"/>
                <w:szCs w:val="20"/>
              </w:rPr>
              <w:t xml:space="preserve">An existing Ceph deployment</w:t>
            </w:r>
          </w:p>
        </w:tc>
      </w:tr>
      <w:tr>
        <w:tc>
          <w:tcPr>
            <w:tcW w:type="dxa" w:w="3700"/>
            <w:tcMar>
              <w:top w:type="dxa" w:w="95"/>
              <w:left w:type="dxa" w:w="135"/>
              <w:bottom w:type="dxa" w:w="95"/>
              <w:right w:type="dxa" w:w="135"/>
            </w:tcMar>
          </w:tcPr>
          <w:p>
            <w:r>
              <w:rPr>
                <w:b/>
                <w:bCs/>
                <w:sz w:val="20"/>
                <w:szCs w:val="20"/>
              </w:rPr>
              <w:t xml:space="preserve">Dell ECS · NetApp StorageGRID · Pure FlashBlade · Hitachi HCP</w:t>
            </w:r>
          </w:p>
        </w:tc>
        <w:tc>
          <w:tcPr>
            <w:tcW w:type="dxa" w:w="5660"/>
            <w:tcMar>
              <w:top w:type="dxa" w:w="95"/>
              <w:left w:type="dxa" w:w="135"/>
              <w:bottom w:type="dxa" w:w="95"/>
              <w:right w:type="dxa" w:w="135"/>
            </w:tcMar>
          </w:tcPr>
          <w:p>
            <w:r>
              <w:rPr>
                <w:sz w:val="20"/>
                <w:szCs w:val="20"/>
              </w:rPr>
              <w:t xml:space="preserve">On-premises enterprise object storage appliances</w:t>
            </w:r>
          </w:p>
        </w:tc>
      </w:tr>
      <w:tr>
        <w:tc>
          <w:tcPr>
            <w:tcW w:type="dxa" w:w="3700"/>
            <w:tcMar>
              <w:top w:type="dxa" w:w="95"/>
              <w:left w:type="dxa" w:w="135"/>
              <w:bottom w:type="dxa" w:w="95"/>
              <w:right w:type="dxa" w:w="135"/>
            </w:tcMar>
          </w:tcPr>
          <w:p>
            <w:r>
              <w:rPr>
                <w:b/>
                <w:bCs/>
                <w:sz w:val="20"/>
                <w:szCs w:val="20"/>
              </w:rPr>
              <w:t xml:space="preserve">Google Cloud Storage</w:t>
            </w:r>
          </w:p>
        </w:tc>
        <w:tc>
          <w:tcPr>
            <w:tcW w:type="dxa" w:w="5660"/>
            <w:tcMar>
              <w:top w:type="dxa" w:w="95"/>
              <w:left w:type="dxa" w:w="135"/>
              <w:bottom w:type="dxa" w:w="95"/>
              <w:right w:type="dxa" w:w="135"/>
            </w:tcMar>
          </w:tcPr>
          <w:p>
            <w:r>
              <w:rPr>
                <w:sz w:val="20"/>
                <w:szCs w:val="20"/>
              </w:rPr>
              <w:t xml:space="preserve">Via the S3-compatible XML API using HMAC keys</w:t>
            </w:r>
          </w:p>
        </w:tc>
      </w:tr>
      <w:tr>
        <w:tc>
          <w:tcPr>
            <w:tcW w:type="dxa" w:w="3700"/>
            <w:tcMar>
              <w:top w:type="dxa" w:w="95"/>
              <w:left w:type="dxa" w:w="135"/>
              <w:bottom w:type="dxa" w:w="95"/>
              <w:right w:type="dxa" w:w="135"/>
            </w:tcMar>
          </w:tcPr>
          <w:p>
            <w:r>
              <w:rPr>
                <w:b/>
                <w:bCs/>
                <w:sz w:val="20"/>
                <w:szCs w:val="20"/>
              </w:rPr>
              <w:t xml:space="preserve">Wasabi · Backblaze B2</w:t>
            </w:r>
          </w:p>
        </w:tc>
        <w:tc>
          <w:tcPr>
            <w:tcW w:type="dxa" w:w="5660"/>
            <w:tcMar>
              <w:top w:type="dxa" w:w="95"/>
              <w:left w:type="dxa" w:w="135"/>
              <w:bottom w:type="dxa" w:w="95"/>
              <w:right w:type="dxa" w:w="135"/>
            </w:tcMar>
          </w:tcPr>
          <w:p>
            <w:r>
              <w:rPr>
                <w:sz w:val="20"/>
                <w:szCs w:val="20"/>
              </w:rPr>
              <w:t xml:space="preserve">S3-compatible providers selected on cost</w:t>
            </w:r>
          </w:p>
        </w:tc>
      </w:tr>
    </w:tbl>
    <w:p>
      <w:pPr>
        <w:spacing w:after="130" w:line="285"/>
      </w:pPr>
      <w:r>
        <w:rPr>
          <w:sz w:val="21"/>
          <w:szCs w:val="21"/>
        </w:rPr>
        <w:t xml:space="preserve">Configuration change required:</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STORAGE_ENDPOINT_URL   →  new service endpoint</w:t>
      </w:r>
      <w:r>
        <w:br/>
      </w:r>
      <w:r>
        <w:rPr>
          <w:rFonts w:ascii="Consolas" w:cs="Consolas" w:eastAsia="Consolas" w:hAnsi="Consolas"/>
          <w:sz w:val="18"/>
          <w:szCs w:val="18"/>
        </w:rPr>
        <w:t xml:space="preserve">STORAGE_ACCESS_KEY     →  new access key</w:t>
      </w:r>
      <w:r>
        <w:br/>
      </w:r>
      <w:r>
        <w:rPr>
          <w:rFonts w:ascii="Consolas" w:cs="Consolas" w:eastAsia="Consolas" w:hAnsi="Consolas"/>
          <w:sz w:val="18"/>
          <w:szCs w:val="18"/>
        </w:rPr>
        <w:t xml:space="preserve">STORAGE_SECRET_KEY     →  new secret</w:t>
      </w:r>
      <w:r>
        <w:br/>
      </w:r>
      <w:r>
        <w:rPr>
          <w:rFonts w:ascii="Consolas" w:cs="Consolas" w:eastAsia="Consolas" w:hAnsi="Consolas"/>
          <w:sz w:val="18"/>
          <w:szCs w:val="18"/>
        </w:rPr>
        <w:t xml:space="preserve">STORAGE_BUCKET_NAME    →  new bucket name, if changed</w:t>
      </w:r>
    </w:p>
    <w:p>
      <w:pPr>
        <w:pStyle w:val="Heading3"/>
        <w:spacing w:after="110" w:before="220"/>
      </w:pPr>
      <w:r>
        <w:rPr>
          <w:b/>
          <w:bCs/>
          <w:color w:val="2E75B6"/>
          <w:sz w:val="22"/>
          <w:szCs w:val="22"/>
        </w:rPr>
        <w:t xml:space="preserve">Tier 2 — approximately thirty lines of code</w:t>
      </w:r>
    </w:p>
    <w:p>
      <w:pPr>
        <w:spacing w:after="130" w:line="285"/>
      </w:pPr>
      <w:r>
        <w:rPr>
          <w:b/>
          <w:bCs/>
          <w:sz w:val="21"/>
          <w:szCs w:val="21"/>
        </w:rPr>
        <w:t xml:space="preserve">Azure Blob Storage</w:t>
      </w:r>
      <w:r>
        <w:rPr>
          <w:sz w:val="21"/>
          <w:szCs w:val="21"/>
        </w:rPr>
        <w:t xml:space="preserve"> is the principal non-S3 option and has no native S3 API. Implementation is contained: the three operations are wrapped in </w:t>
      </w:r>
      <w:r>
        <w:rPr>
          <w:rFonts w:ascii="Consolas" w:cs="Consolas" w:eastAsia="Consolas" w:hAnsi="Consolas"/>
          <w:color w:val="7B1FA2"/>
          <w:sz w:val="19"/>
          <w:szCs w:val="19"/>
        </w:rPr>
        <w:t xml:space="preserve">backend/services/storage.py</w:t>
      </w:r>
      <w:r>
        <w:rPr>
          <w:sz w:val="21"/>
          <w:szCs w:val="21"/>
        </w:rPr>
        <w:t xml:space="preserve">, and no other module imports boto3.</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4300"/>
        <w:gridCol w:w="5060"/>
      </w:tblGrid>
      <w:tr>
        <w:trPr>
          <w:tblHeader/>
        </w:trPr>
        <w:tc>
          <w:tcPr>
            <w:tcW w:type="dxa" w:w="4300"/>
            <w:shd w:fill="DCE6F1" w:val="clear"/>
            <w:tcMar>
              <w:top w:type="dxa" w:w="95"/>
              <w:left w:type="dxa" w:w="135"/>
              <w:bottom w:type="dxa" w:w="95"/>
              <w:right w:type="dxa" w:w="135"/>
            </w:tcMar>
          </w:tcPr>
          <w:p>
            <w:r>
              <w:rPr>
                <w:b/>
                <w:bCs/>
                <w:color w:val="1F3864"/>
                <w:sz w:val="20"/>
                <w:szCs w:val="20"/>
              </w:rPr>
              <w:t xml:space="preserve">Function</w:t>
            </w:r>
          </w:p>
        </w:tc>
        <w:tc>
          <w:tcPr>
            <w:tcW w:type="dxa" w:w="5060"/>
            <w:shd w:fill="DCE6F1" w:val="clear"/>
            <w:tcMar>
              <w:top w:type="dxa" w:w="95"/>
              <w:left w:type="dxa" w:w="135"/>
              <w:bottom w:type="dxa" w:w="95"/>
              <w:right w:type="dxa" w:w="135"/>
            </w:tcMar>
          </w:tcPr>
          <w:p>
            <w:r>
              <w:rPr>
                <w:b/>
                <w:bCs/>
                <w:color w:val="1F3864"/>
                <w:sz w:val="20"/>
                <w:szCs w:val="20"/>
              </w:rPr>
              <w:t xml:space="preserve">Called by</w:t>
            </w:r>
          </w:p>
        </w:tc>
      </w:tr>
      <w:tr>
        <w:tc>
          <w:tcPr>
            <w:tcW w:type="dxa" w:w="4300"/>
            <w:tcMar>
              <w:top w:type="dxa" w:w="95"/>
              <w:left w:type="dxa" w:w="135"/>
              <w:bottom w:type="dxa" w:w="95"/>
              <w:right w:type="dxa" w:w="135"/>
            </w:tcMar>
          </w:tcPr>
          <w:p>
            <w:r>
              <w:rPr>
                <w:rFonts w:ascii="Consolas" w:cs="Consolas" w:eastAsia="Consolas" w:hAnsi="Consolas"/>
                <w:sz w:val="18"/>
                <w:szCs w:val="18"/>
              </w:rPr>
              <w:t xml:space="preserve">upload_bytes(key, data, content_type)</w:t>
            </w:r>
          </w:p>
        </w:tc>
        <w:tc>
          <w:tcPr>
            <w:tcW w:type="dxa" w:w="5060"/>
            <w:tcMar>
              <w:top w:type="dxa" w:w="95"/>
              <w:left w:type="dxa" w:w="135"/>
              <w:bottom w:type="dxa" w:w="95"/>
              <w:right w:type="dxa" w:w="135"/>
            </w:tcMar>
          </w:tcPr>
          <w:p>
            <w:r>
              <w:rPr>
                <w:sz w:val="20"/>
                <w:szCs w:val="20"/>
              </w:rPr>
              <w:t xml:space="preserve">Chart upload</w:t>
            </w:r>
          </w:p>
        </w:tc>
      </w:tr>
      <w:tr>
        <w:tc>
          <w:tcPr>
            <w:tcW w:type="dxa" w:w="4300"/>
            <w:tcMar>
              <w:top w:type="dxa" w:w="95"/>
              <w:left w:type="dxa" w:w="135"/>
              <w:bottom w:type="dxa" w:w="95"/>
              <w:right w:type="dxa" w:w="135"/>
            </w:tcMar>
          </w:tcPr>
          <w:p>
            <w:r>
              <w:rPr>
                <w:rFonts w:ascii="Consolas" w:cs="Consolas" w:eastAsia="Consolas" w:hAnsi="Consolas"/>
                <w:sz w:val="18"/>
                <w:szCs w:val="18"/>
              </w:rPr>
              <w:t xml:space="preserve">open_object(key)</w:t>
            </w:r>
          </w:p>
        </w:tc>
        <w:tc>
          <w:tcPr>
            <w:tcW w:type="dxa" w:w="5060"/>
            <w:tcMar>
              <w:top w:type="dxa" w:w="95"/>
              <w:left w:type="dxa" w:w="135"/>
              <w:bottom w:type="dxa" w:w="95"/>
              <w:right w:type="dxa" w:w="135"/>
            </w:tcMar>
          </w:tcPr>
          <w:p>
            <w:r>
              <w:rPr>
                <w:sz w:val="20"/>
                <w:szCs w:val="20"/>
              </w:rPr>
              <w:t xml:space="preserve">Chart page retrieval — returns </w:t>
            </w:r>
            <w:r>
              <w:rPr>
                <w:rFonts w:ascii="Consolas" w:cs="Consolas" w:eastAsia="Consolas" w:hAnsi="Consolas"/>
                <w:sz w:val="18"/>
                <w:szCs w:val="18"/>
              </w:rPr>
              <w:t xml:space="preserve">(body, content_type)</w:t>
            </w:r>
          </w:p>
        </w:tc>
      </w:tr>
      <w:tr>
        <w:tc>
          <w:tcPr>
            <w:tcW w:type="dxa" w:w="4300"/>
            <w:tcMar>
              <w:top w:type="dxa" w:w="95"/>
              <w:left w:type="dxa" w:w="135"/>
              <w:bottom w:type="dxa" w:w="95"/>
              <w:right w:type="dxa" w:w="135"/>
            </w:tcMar>
          </w:tcPr>
          <w:p>
            <w:r>
              <w:rPr>
                <w:rFonts w:ascii="Consolas" w:cs="Consolas" w:eastAsia="Consolas" w:hAnsi="Consolas"/>
                <w:sz w:val="18"/>
                <w:szCs w:val="18"/>
              </w:rPr>
              <w:t xml:space="preserve">delete_object(key)</w:t>
            </w:r>
          </w:p>
        </w:tc>
        <w:tc>
          <w:tcPr>
            <w:tcW w:type="dxa" w:w="5060"/>
            <w:tcMar>
              <w:top w:type="dxa" w:w="95"/>
              <w:left w:type="dxa" w:w="135"/>
              <w:bottom w:type="dxa" w:w="95"/>
              <w:right w:type="dxa" w:w="135"/>
            </w:tcMar>
          </w:tcPr>
          <w:p>
            <w:r>
              <w:rPr>
                <w:sz w:val="20"/>
                <w:szCs w:val="20"/>
              </w:rPr>
              <w:t xml:space="preserve">Chart removal</w:t>
            </w:r>
          </w:p>
        </w:tc>
      </w:tr>
    </w:tbl>
    <w:p>
      <w:pPr>
        <w:pStyle w:val="Heading3"/>
        <w:spacing w:after="110" w:before="220"/>
      </w:pPr>
      <w:r>
        <w:rPr>
          <w:b/>
          <w:bCs/>
          <w:color w:val="2E75B6"/>
          <w:sz w:val="22"/>
          <w:szCs w:val="22"/>
        </w:rPr>
        <w:t xml:space="preserve">Tier 3 — same three functions, with durability implications</w:t>
      </w:r>
    </w:p>
    <w:p>
      <w:pPr>
        <w:spacing w:after="130" w:line="285"/>
      </w:pPr>
      <w:r>
        <w:rPr>
          <w:sz w:val="21"/>
          <w:szCs w:val="21"/>
        </w:rPr>
        <w:t xml:space="preserve">A mounted network share (NFS or SMB) or local disk. Implementation is trivial, but durability becomes a property of that volume rather than of a replicated object store, and running more than one API instance requires the volume to be shared. Appropriate for a single-instance deployment that is expected to remain so.</w:t>
      </w:r>
    </w:p>
    <w:p>
      <w:pPr>
        <w:pStyle w:val="Heading3"/>
        <w:spacing w:after="110" w:before="220"/>
      </w:pPr>
      <w:r>
        <w:rPr>
          <w:b/>
          <w:bCs/>
          <w:color w:val="2E75B6"/>
          <w:sz w:val="22"/>
          <w:szCs w:val="22"/>
        </w:rPr>
        <w:t xml:space="preserve">Recommendation</w:t>
      </w:r>
    </w:p>
    <w:p>
      <w:pPr>
        <w:spacing w:after="130" w:line="285"/>
      </w:pPr>
      <w:r>
        <w:rPr>
          <w:sz w:val="21"/>
          <w:szCs w:val="21"/>
        </w:rPr>
        <w:t xml:space="preserve">Where the organisation operates any existing object storage, use it. A Tier 1 migration is configuration only and introduces no code to test.</w:t>
      </w:r>
    </w:p>
    <w:p>
      <w:pPr>
        <w:spacing w:after="130" w:line="285"/>
      </w:pPr>
      <w:r>
        <w:rPr>
          <w:sz w:val="21"/>
          <w:szCs w:val="21"/>
        </w:rPr>
        <w:t xml:space="preserve">Select Azure Blob Storage where the organisation is Azure-standardised and non-Azure object storage would represent a policy exception. The implementation is small but is code, and requires testing that configuration does not.</w:t>
      </w:r>
    </w:p>
    <w:p>
      <w:pPr>
        <w:spacing w:after="130" w:line="285"/>
      </w:pPr>
      <w:r>
        <w:rPr>
          <w:sz w:val="21"/>
          <w:szCs w:val="21"/>
        </w:rPr>
        <w:t xml:space="preserve">Avoid the network-share option unless the deployment is single-instance by design.</w:t>
      </w:r>
    </w:p>
    <w:p>
      <w:pPr>
        <w:pStyle w:val="Heading3"/>
        <w:spacing w:after="110" w:before="220"/>
      </w:pPr>
      <w:r>
        <w:rPr>
          <w:b/>
          <w:bCs/>
          <w:color w:val="2E75B6"/>
          <w:sz w:val="22"/>
          <w:szCs w:val="22"/>
        </w:rPr>
        <w:t xml:space="preserve">Invariants across all options</w:t>
      </w:r>
    </w:p>
    <w:p>
      <w:pPr>
        <w:pStyle w:val="ListParagraph"/>
        <w:numPr>
          <w:ilvl w:val="0"/>
          <w:numId w:val="2"/>
        </w:numPr>
        <w:spacing w:after="85" w:line="285"/>
      </w:pPr>
      <w:r>
        <w:rPr>
          <w:sz w:val="21"/>
          <w:szCs w:val="21"/>
        </w:rPr>
        <w:t xml:space="preserve">The database is unchanged. </w:t>
      </w:r>
      <w:r>
        <w:rPr>
          <w:rFonts w:ascii="Consolas" w:cs="Consolas" w:eastAsia="Consolas" w:hAnsi="Consolas"/>
          <w:color w:val="7B1FA2"/>
          <w:sz w:val="19"/>
          <w:szCs w:val="19"/>
        </w:rPr>
        <w:t xml:space="preserve">chart_files.storage_key</w:t>
      </w:r>
      <w:r>
        <w:rPr>
          <w:sz w:val="21"/>
          <w:szCs w:val="21"/>
        </w:rPr>
        <w:t xml:space="preserve"> retains the same values</w:t>
      </w:r>
    </w:p>
    <w:p>
      <w:pPr>
        <w:pStyle w:val="ListParagraph"/>
        <w:numPr>
          <w:ilvl w:val="0"/>
          <w:numId w:val="2"/>
        </w:numPr>
        <w:spacing w:after="85" w:line="285"/>
      </w:pPr>
      <w:r>
        <w:rPr>
          <w:sz w:val="21"/>
          <w:szCs w:val="21"/>
        </w:rPr>
        <w:t xml:space="preserve">Chart images continue to be proxied by the backend; the browser does not contact storage</w:t>
      </w:r>
    </w:p>
    <w:p>
      <w:pPr>
        <w:pStyle w:val="ListParagraph"/>
        <w:numPr>
          <w:ilvl w:val="0"/>
          <w:numId w:val="2"/>
        </w:numPr>
        <w:spacing w:after="85" w:line="285"/>
      </w:pPr>
      <w:r>
        <w:rPr>
          <w:sz w:val="21"/>
          <w:szCs w:val="21"/>
        </w:rPr>
        <w:t xml:space="preserve">No CORS configuration is required</w:t>
      </w:r>
    </w:p>
    <w:p>
      <w:pPr>
        <w:pStyle w:val="ListParagraph"/>
        <w:numPr>
          <w:ilvl w:val="0"/>
          <w:numId w:val="2"/>
        </w:numPr>
        <w:spacing w:after="85" w:line="285"/>
      </w:pPr>
      <w:r>
        <w:rPr>
          <w:sz w:val="21"/>
          <w:szCs w:val="21"/>
        </w:rPr>
        <w:t xml:space="preserve">Storage need only be reachable from the backend and may reside entirely within the internal network</w:t>
      </w:r>
    </w:p>
    <w:p>
      <w:r>
        <w:br w:type="page"/>
      </w:r>
    </w:p>
    <w:p>
      <w:pPr>
        <w:pStyle w:val="Heading1"/>
        <w:spacing w:after="170" w:before="400"/>
      </w:pPr>
      <w:r>
        <w:rPr>
          <w:b/>
          <w:bCs/>
          <w:color w:val="1F3864"/>
          <w:sz w:val="30"/>
          <w:szCs w:val="30"/>
        </w:rPr>
        <w:t xml:space="preserve">4. Migration procedure</w:t>
      </w:r>
    </w:p>
    <w:p>
      <w:pPr>
        <w:pStyle w:val="Heading2"/>
        <w:spacing w:after="130" w:before="300"/>
      </w:pPr>
      <w:r>
        <w:rPr>
          <w:b/>
          <w:bCs/>
          <w:color w:val="1F3864"/>
          <w:sz w:val="24"/>
          <w:szCs w:val="24"/>
        </w:rPr>
        <w:t xml:space="preserve">4.1 Schema provisioning</w:t>
      </w:r>
    </w:p>
    <w:p>
      <w:pPr>
        <w:spacing w:after="130" w:line="285"/>
      </w:pPr>
      <w:r>
        <w:rPr>
          <w:sz w:val="21"/>
          <w:szCs w:val="21"/>
        </w:rPr>
        <w:t xml:space="preserve">The application has no schema script and does not use a migration framework such as Alembic. The schema is created by the application at startup:</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def init_db():</w:t>
      </w:r>
      <w:r>
        <w:br/>
      </w:r>
      <w:r>
        <w:rPr>
          <w:rFonts w:ascii="Consolas" w:cs="Consolas" w:eastAsia="Consolas" w:hAnsi="Consolas"/>
          <w:sz w:val="18"/>
          <w:szCs w:val="18"/>
        </w:rPr>
        <w:t xml:space="preserve">    Base.metadata.create_all(bind=engine)   # tables defined as ORM models</w:t>
      </w:r>
      <w:r>
        <w:br/>
      </w:r>
      <w:r>
        <w:rPr>
          <w:rFonts w:ascii="Consolas" w:cs="Consolas" w:eastAsia="Consolas" w:hAnsi="Consolas"/>
          <w:sz w:val="18"/>
          <w:szCs w:val="18"/>
        </w:rPr>
        <w:t xml:space="preserve">    _run_migrations()                       # 21 CREATE TABLE + ~100 ALTER statements</w:t>
      </w:r>
    </w:p>
    <w:p>
      <w:pPr>
        <w:spacing w:after="130" w:line="285"/>
      </w:pPr>
      <w:r>
        <w:rPr>
          <w:sz w:val="21"/>
          <w:szCs w:val="21"/>
        </w:rPr>
        <w:t xml:space="preserve">An empty PostgreSQL database and a correctly configured application are sufficient to produce a complete schema. No DDL file is required or available.</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Migration statements fail silently by design</w:t>
            </w:r>
          </w:p>
          <w:p>
            <w:pPr>
              <w:spacing w:after="65" w:line="285"/>
            </w:pPr>
            <w:r>
              <w:rPr>
                <w:sz w:val="21"/>
                <w:szCs w:val="21"/>
              </w:rPr>
              <w:t xml:space="preserve">Each statement is executed independently, and a failure is logged as a warning while startup continues:</w:t>
            </w:r>
          </w:p>
          <w:p>
            <w:pPr>
              <w:spacing w:after="65" w:line="285"/>
            </w:pPr>
            <w:r>
              <w:rPr>
                <w:rFonts w:ascii="Consolas" w:cs="Consolas" w:eastAsia="Consolas" w:hAnsi="Consolas"/>
                <w:sz w:val="19"/>
                <w:szCs w:val="19"/>
              </w:rPr>
              <w:t xml:space="preserve">logger.warning("Migration DDL failed (non-fatal): %s | sql=%s", exc, sql[:200])</w:t>
            </w:r>
          </w:p>
          <w:p>
            <w:pPr>
              <w:spacing w:after="65" w:line="285"/>
            </w:pPr>
            <w:r>
              <w:rPr>
                <w:b/>
                <w:bCs/>
                <w:sz w:val="21"/>
                <w:szCs w:val="21"/>
              </w:rPr>
              <w:t xml:space="preserve">This prevents a schema problem from taking the API offline, but means a partial failure is not otherwise visible. Startup logs must be inspected after the first start against a new database — see section 4.6.</w:t>
            </w:r>
          </w:p>
        </w:tc>
      </w:tr>
    </w:tbl>
    <w:p>
      <w:pPr>
        <w:spacing w:after="130" w:line="285"/>
      </w:pPr>
      <w:r>
        <w:rPr>
          <w:sz w:val="21"/>
          <w:szCs w:val="21"/>
        </w:rPr>
        <w:t xml:space="preserve">There is no schema version table. Each statement re-checks whether its target already exists and is skipped if so, making repeated startup safe and idempotent. A schema version cannot be queried; the schema corresponds to the deployed application revision. Application rollback does not revert the schema.</w:t>
      </w:r>
    </w:p>
    <w:p>
      <w:pPr>
        <w:pStyle w:val="Heading2"/>
        <w:spacing w:after="130" w:before="300"/>
      </w:pPr>
      <w:r>
        <w:rPr>
          <w:b/>
          <w:bCs/>
          <w:color w:val="1F3864"/>
          <w:sz w:val="24"/>
          <w:szCs w:val="24"/>
        </w:rPr>
        <w:t xml:space="preserve">4.2 Environment configuration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400"/>
        <w:gridCol w:w="1400"/>
        <w:gridCol w:w="4560"/>
      </w:tblGrid>
      <w:tr>
        <w:trPr>
          <w:tblHeader/>
        </w:trPr>
        <w:tc>
          <w:tcPr>
            <w:tcW w:type="dxa" w:w="3400"/>
            <w:shd w:fill="DCE6F1" w:val="clear"/>
            <w:tcMar>
              <w:top w:type="dxa" w:w="95"/>
              <w:left w:type="dxa" w:w="135"/>
              <w:bottom w:type="dxa" w:w="95"/>
              <w:right w:type="dxa" w:w="135"/>
            </w:tcMar>
          </w:tcPr>
          <w:p>
            <w:r>
              <w:rPr>
                <w:b/>
                <w:bCs/>
                <w:color w:val="1F3864"/>
                <w:sz w:val="20"/>
                <w:szCs w:val="20"/>
              </w:rPr>
              <w:t xml:space="preserve">Variable</w:t>
            </w:r>
          </w:p>
        </w:tc>
        <w:tc>
          <w:tcPr>
            <w:tcW w:type="dxa" w:w="1400"/>
            <w:shd w:fill="DCE6F1" w:val="clear"/>
            <w:tcMar>
              <w:top w:type="dxa" w:w="95"/>
              <w:left w:type="dxa" w:w="135"/>
              <w:bottom w:type="dxa" w:w="95"/>
              <w:right w:type="dxa" w:w="135"/>
            </w:tcMar>
          </w:tcPr>
          <w:p>
            <w:r>
              <w:rPr>
                <w:b/>
                <w:bCs/>
                <w:color w:val="1F3864"/>
                <w:sz w:val="20"/>
                <w:szCs w:val="20"/>
              </w:rPr>
              <w:t xml:space="preserve">Required</w:t>
            </w:r>
          </w:p>
        </w:tc>
        <w:tc>
          <w:tcPr>
            <w:tcW w:type="dxa" w:w="4560"/>
            <w:shd w:fill="DCE6F1" w:val="clear"/>
            <w:tcMar>
              <w:top w:type="dxa" w:w="95"/>
              <w:left w:type="dxa" w:w="135"/>
              <w:bottom w:type="dxa" w:w="95"/>
              <w:right w:type="dxa" w:w="135"/>
            </w:tcMar>
          </w:tcPr>
          <w:p>
            <w:r>
              <w:rPr>
                <w:b/>
                <w:bCs/>
                <w:color w:val="1F3864"/>
                <w:sz w:val="20"/>
                <w:szCs w:val="20"/>
              </w:rPr>
              <w:t xml:space="preserve">Purpose</w:t>
            </w:r>
          </w:p>
        </w:tc>
      </w:tr>
      <w:tr>
        <w:tc>
          <w:tcPr>
            <w:tcW w:type="dxa" w:w="3400"/>
            <w:tcMar>
              <w:top w:type="dxa" w:w="95"/>
              <w:left w:type="dxa" w:w="135"/>
              <w:bottom w:type="dxa" w:w="95"/>
              <w:right w:type="dxa" w:w="135"/>
            </w:tcMar>
          </w:tcPr>
          <w:p>
            <w:r>
              <w:rPr>
                <w:rFonts w:ascii="Consolas" w:cs="Consolas" w:eastAsia="Consolas" w:hAnsi="Consolas"/>
                <w:sz w:val="18"/>
                <w:szCs w:val="18"/>
              </w:rPr>
              <w:t xml:space="preserve">DATABASE_URL</w:t>
            </w:r>
          </w:p>
        </w:tc>
        <w:tc>
          <w:tcPr>
            <w:tcW w:type="dxa" w:w="1400"/>
            <w:tcMar>
              <w:top w:type="dxa" w:w="95"/>
              <w:left w:type="dxa" w:w="135"/>
              <w:bottom w:type="dxa" w:w="95"/>
              <w:right w:type="dxa" w:w="135"/>
            </w:tcMar>
          </w:tcPr>
          <w:p>
            <w:r>
              <w:rPr>
                <w:sz w:val="20"/>
                <w:szCs w:val="20"/>
              </w:rPr>
              <w:t xml:space="preserve">Yes</w:t>
            </w:r>
          </w:p>
        </w:tc>
        <w:tc>
          <w:tcPr>
            <w:tcW w:type="dxa" w:w="4560"/>
            <w:tcMar>
              <w:top w:type="dxa" w:w="95"/>
              <w:left w:type="dxa" w:w="135"/>
              <w:bottom w:type="dxa" w:w="95"/>
              <w:right w:type="dxa" w:w="135"/>
            </w:tcMar>
          </w:tcPr>
          <w:p>
            <w:r>
              <w:rPr>
                <w:sz w:val="20"/>
                <w:szCs w:val="20"/>
              </w:rPr>
              <w:t xml:space="preserve">PostgreSQL connection string</w:t>
            </w:r>
          </w:p>
        </w:tc>
      </w:tr>
      <w:tr>
        <w:tc>
          <w:tcPr>
            <w:tcW w:type="dxa" w:w="3400"/>
            <w:tcMar>
              <w:top w:type="dxa" w:w="95"/>
              <w:left w:type="dxa" w:w="135"/>
              <w:bottom w:type="dxa" w:w="95"/>
              <w:right w:type="dxa" w:w="135"/>
            </w:tcMar>
          </w:tcPr>
          <w:p>
            <w:r>
              <w:rPr>
                <w:rFonts w:ascii="Consolas" w:cs="Consolas" w:eastAsia="Consolas" w:hAnsi="Consolas"/>
                <w:sz w:val="18"/>
                <w:szCs w:val="18"/>
              </w:rPr>
              <w:t xml:space="preserve">STORAGE_ENDPOINT_URL</w:t>
            </w:r>
          </w:p>
        </w:tc>
        <w:tc>
          <w:tcPr>
            <w:tcW w:type="dxa" w:w="1400"/>
            <w:tcMar>
              <w:top w:type="dxa" w:w="95"/>
              <w:left w:type="dxa" w:w="135"/>
              <w:bottom w:type="dxa" w:w="95"/>
              <w:right w:type="dxa" w:w="135"/>
            </w:tcMar>
          </w:tcPr>
          <w:p>
            <w:r>
              <w:rPr>
                <w:sz w:val="20"/>
                <w:szCs w:val="20"/>
              </w:rPr>
              <w:t xml:space="preserve">Yes</w:t>
            </w:r>
          </w:p>
        </w:tc>
        <w:tc>
          <w:tcPr>
            <w:tcW w:type="dxa" w:w="4560"/>
            <w:tcMar>
              <w:top w:type="dxa" w:w="95"/>
              <w:left w:type="dxa" w:w="135"/>
              <w:bottom w:type="dxa" w:w="95"/>
              <w:right w:type="dxa" w:w="135"/>
            </w:tcMar>
          </w:tcPr>
          <w:p>
            <w:r>
              <w:rPr>
                <w:sz w:val="20"/>
                <w:szCs w:val="20"/>
              </w:rPr>
              <w:t xml:space="preserve">S3-compatible endpoint</w:t>
            </w:r>
          </w:p>
        </w:tc>
      </w:tr>
      <w:tr>
        <w:tc>
          <w:tcPr>
            <w:tcW w:type="dxa" w:w="3400"/>
            <w:tcMar>
              <w:top w:type="dxa" w:w="95"/>
              <w:left w:type="dxa" w:w="135"/>
              <w:bottom w:type="dxa" w:w="95"/>
              <w:right w:type="dxa" w:w="135"/>
            </w:tcMar>
          </w:tcPr>
          <w:p>
            <w:r>
              <w:rPr>
                <w:rFonts w:ascii="Consolas" w:cs="Consolas" w:eastAsia="Consolas" w:hAnsi="Consolas"/>
                <w:sz w:val="18"/>
                <w:szCs w:val="18"/>
              </w:rPr>
              <w:t xml:space="preserve">STORAGE_ACCESS_KEY</w:t>
            </w:r>
          </w:p>
        </w:tc>
        <w:tc>
          <w:tcPr>
            <w:tcW w:type="dxa" w:w="1400"/>
            <w:tcMar>
              <w:top w:type="dxa" w:w="95"/>
              <w:left w:type="dxa" w:w="135"/>
              <w:bottom w:type="dxa" w:w="95"/>
              <w:right w:type="dxa" w:w="135"/>
            </w:tcMar>
          </w:tcPr>
          <w:p>
            <w:r>
              <w:rPr>
                <w:sz w:val="20"/>
                <w:szCs w:val="20"/>
              </w:rPr>
              <w:t xml:space="preserve">Yes</w:t>
            </w:r>
          </w:p>
        </w:tc>
        <w:tc>
          <w:tcPr>
            <w:tcW w:type="dxa" w:w="4560"/>
            <w:tcMar>
              <w:top w:type="dxa" w:w="95"/>
              <w:left w:type="dxa" w:w="135"/>
              <w:bottom w:type="dxa" w:w="95"/>
              <w:right w:type="dxa" w:w="135"/>
            </w:tcMar>
          </w:tcPr>
          <w:p>
            <w:r>
              <w:rPr>
                <w:sz w:val="20"/>
                <w:szCs w:val="20"/>
              </w:rPr>
              <w:t xml:space="preserve">Storage access key</w:t>
            </w:r>
          </w:p>
        </w:tc>
      </w:tr>
      <w:tr>
        <w:tc>
          <w:tcPr>
            <w:tcW w:type="dxa" w:w="3400"/>
            <w:tcMar>
              <w:top w:type="dxa" w:w="95"/>
              <w:left w:type="dxa" w:w="135"/>
              <w:bottom w:type="dxa" w:w="95"/>
              <w:right w:type="dxa" w:w="135"/>
            </w:tcMar>
          </w:tcPr>
          <w:p>
            <w:r>
              <w:rPr>
                <w:rFonts w:ascii="Consolas" w:cs="Consolas" w:eastAsia="Consolas" w:hAnsi="Consolas"/>
                <w:sz w:val="18"/>
                <w:szCs w:val="18"/>
              </w:rPr>
              <w:t xml:space="preserve">STORAGE_SECRET_KEY</w:t>
            </w:r>
          </w:p>
        </w:tc>
        <w:tc>
          <w:tcPr>
            <w:tcW w:type="dxa" w:w="1400"/>
            <w:tcMar>
              <w:top w:type="dxa" w:w="95"/>
              <w:left w:type="dxa" w:w="135"/>
              <w:bottom w:type="dxa" w:w="95"/>
              <w:right w:type="dxa" w:w="135"/>
            </w:tcMar>
          </w:tcPr>
          <w:p>
            <w:r>
              <w:rPr>
                <w:sz w:val="20"/>
                <w:szCs w:val="20"/>
              </w:rPr>
              <w:t xml:space="preserve">Yes</w:t>
            </w:r>
          </w:p>
        </w:tc>
        <w:tc>
          <w:tcPr>
            <w:tcW w:type="dxa" w:w="4560"/>
            <w:tcMar>
              <w:top w:type="dxa" w:w="95"/>
              <w:left w:type="dxa" w:w="135"/>
              <w:bottom w:type="dxa" w:w="95"/>
              <w:right w:type="dxa" w:w="135"/>
            </w:tcMar>
          </w:tcPr>
          <w:p>
            <w:r>
              <w:rPr>
                <w:sz w:val="20"/>
                <w:szCs w:val="20"/>
              </w:rPr>
              <w:t xml:space="preserve">Storage secret</w:t>
            </w:r>
          </w:p>
        </w:tc>
      </w:tr>
      <w:tr>
        <w:tc>
          <w:tcPr>
            <w:tcW w:type="dxa" w:w="3400"/>
            <w:tcMar>
              <w:top w:type="dxa" w:w="95"/>
              <w:left w:type="dxa" w:w="135"/>
              <w:bottom w:type="dxa" w:w="95"/>
              <w:right w:type="dxa" w:w="135"/>
            </w:tcMar>
          </w:tcPr>
          <w:p>
            <w:r>
              <w:rPr>
                <w:rFonts w:ascii="Consolas" w:cs="Consolas" w:eastAsia="Consolas" w:hAnsi="Consolas"/>
                <w:sz w:val="18"/>
                <w:szCs w:val="18"/>
              </w:rPr>
              <w:t xml:space="preserve">STORAGE_BUCKET_NAME</w:t>
            </w:r>
          </w:p>
        </w:tc>
        <w:tc>
          <w:tcPr>
            <w:tcW w:type="dxa" w:w="1400"/>
            <w:tcMar>
              <w:top w:type="dxa" w:w="95"/>
              <w:left w:type="dxa" w:w="135"/>
              <w:bottom w:type="dxa" w:w="95"/>
              <w:right w:type="dxa" w:w="135"/>
            </w:tcMar>
          </w:tcPr>
          <w:p>
            <w:r>
              <w:rPr>
                <w:sz w:val="20"/>
                <w:szCs w:val="20"/>
              </w:rPr>
              <w:t xml:space="preserve">Yes</w:t>
            </w:r>
          </w:p>
        </w:tc>
        <w:tc>
          <w:tcPr>
            <w:tcW w:type="dxa" w:w="4560"/>
            <w:tcMar>
              <w:top w:type="dxa" w:w="95"/>
              <w:left w:type="dxa" w:w="135"/>
              <w:bottom w:type="dxa" w:w="95"/>
              <w:right w:type="dxa" w:w="135"/>
            </w:tcMar>
          </w:tcPr>
          <w:p>
            <w:r>
              <w:rPr>
                <w:sz w:val="20"/>
                <w:szCs w:val="20"/>
              </w:rPr>
              <w:t xml:space="preserve">Bucket name</w:t>
            </w:r>
          </w:p>
        </w:tc>
      </w:tr>
      <w:tr>
        <w:tc>
          <w:tcPr>
            <w:tcW w:type="dxa" w:w="3400"/>
            <w:tcMar>
              <w:top w:type="dxa" w:w="95"/>
              <w:left w:type="dxa" w:w="135"/>
              <w:bottom w:type="dxa" w:w="95"/>
              <w:right w:type="dxa" w:w="135"/>
            </w:tcMar>
          </w:tcPr>
          <w:p>
            <w:r>
              <w:rPr>
                <w:rFonts w:ascii="Consolas" w:cs="Consolas" w:eastAsia="Consolas" w:hAnsi="Consolas"/>
                <w:sz w:val="18"/>
                <w:szCs w:val="18"/>
              </w:rPr>
              <w:t xml:space="preserve">STORAGE_PUBLIC_URL</w:t>
            </w:r>
          </w:p>
        </w:tc>
        <w:tc>
          <w:tcPr>
            <w:tcW w:type="dxa" w:w="1400"/>
            <w:tcMar>
              <w:top w:type="dxa" w:w="95"/>
              <w:left w:type="dxa" w:w="135"/>
              <w:bottom w:type="dxa" w:w="95"/>
              <w:right w:type="dxa" w:w="135"/>
            </w:tcMar>
          </w:tcPr>
          <w:p>
            <w:r>
              <w:rPr>
                <w:sz w:val="20"/>
                <w:szCs w:val="20"/>
              </w:rPr>
              <w:t xml:space="preserve">Yes</w:t>
            </w:r>
          </w:p>
        </w:tc>
        <w:tc>
          <w:tcPr>
            <w:tcW w:type="dxa" w:w="4560"/>
            <w:tcMar>
              <w:top w:type="dxa" w:w="95"/>
              <w:left w:type="dxa" w:w="135"/>
              <w:bottom w:type="dxa" w:w="95"/>
              <w:right w:type="dxa" w:w="135"/>
            </w:tcMar>
          </w:tcPr>
          <w:p>
            <w:r>
              <w:rPr>
                <w:sz w:val="20"/>
                <w:szCs w:val="20"/>
              </w:rPr>
              <w:t xml:space="preserve">Not read by application code — see note below</w:t>
            </w:r>
          </w:p>
        </w:tc>
      </w:tr>
      <w:tr>
        <w:tc>
          <w:tcPr>
            <w:tcW w:type="dxa" w:w="3400"/>
            <w:tcMar>
              <w:top w:type="dxa" w:w="95"/>
              <w:left w:type="dxa" w:w="135"/>
              <w:bottom w:type="dxa" w:w="95"/>
              <w:right w:type="dxa" w:w="135"/>
            </w:tcMar>
          </w:tcPr>
          <w:p>
            <w:r>
              <w:rPr>
                <w:rFonts w:ascii="Consolas" w:cs="Consolas" w:eastAsia="Consolas" w:hAnsi="Consolas"/>
                <w:sz w:val="18"/>
                <w:szCs w:val="18"/>
              </w:rPr>
              <w:t xml:space="preserve">MASTER_ADMIN_PASSPHRASE</w:t>
            </w:r>
          </w:p>
        </w:tc>
        <w:tc>
          <w:tcPr>
            <w:tcW w:type="dxa" w:w="1400"/>
            <w:tcMar>
              <w:top w:type="dxa" w:w="95"/>
              <w:left w:type="dxa" w:w="135"/>
              <w:bottom w:type="dxa" w:w="95"/>
              <w:right w:type="dxa" w:w="135"/>
            </w:tcMar>
          </w:tcPr>
          <w:p>
            <w:r>
              <w:rPr>
                <w:sz w:val="20"/>
                <w:szCs w:val="20"/>
              </w:rPr>
              <w:t xml:space="preserve">Yes</w:t>
            </w:r>
          </w:p>
        </w:tc>
        <w:tc>
          <w:tcPr>
            <w:tcW w:type="dxa" w:w="4560"/>
            <w:tcMar>
              <w:top w:type="dxa" w:w="95"/>
              <w:left w:type="dxa" w:w="135"/>
              <w:bottom w:type="dxa" w:w="95"/>
              <w:right w:type="dxa" w:w="135"/>
            </w:tcMar>
          </w:tcPr>
          <w:p>
            <w:r>
              <w:rPr>
                <w:sz w:val="20"/>
                <w:szCs w:val="20"/>
              </w:rPr>
              <w:t xml:space="preserve">Authorises protected trainer operations. No default</w:t>
            </w:r>
          </w:p>
        </w:tc>
      </w:tr>
      <w:tr>
        <w:tc>
          <w:tcPr>
            <w:tcW w:type="dxa" w:w="3400"/>
            <w:tcMar>
              <w:top w:type="dxa" w:w="95"/>
              <w:left w:type="dxa" w:w="135"/>
              <w:bottom w:type="dxa" w:w="95"/>
              <w:right w:type="dxa" w:w="135"/>
            </w:tcMar>
          </w:tcPr>
          <w:p>
            <w:r>
              <w:rPr>
                <w:rFonts w:ascii="Consolas" w:cs="Consolas" w:eastAsia="Consolas" w:hAnsi="Consolas"/>
                <w:sz w:val="18"/>
                <w:szCs w:val="18"/>
              </w:rPr>
              <w:t xml:space="preserve">CORS_ORIGINS</w:t>
            </w:r>
          </w:p>
        </w:tc>
        <w:tc>
          <w:tcPr>
            <w:tcW w:type="dxa" w:w="1400"/>
            <w:tcMar>
              <w:top w:type="dxa" w:w="95"/>
              <w:left w:type="dxa" w:w="135"/>
              <w:bottom w:type="dxa" w:w="95"/>
              <w:right w:type="dxa" w:w="135"/>
            </w:tcMar>
          </w:tcPr>
          <w:p>
            <w:r>
              <w:rPr>
                <w:sz w:val="20"/>
                <w:szCs w:val="20"/>
              </w:rPr>
              <w:t xml:space="preserve">No</w:t>
            </w:r>
          </w:p>
        </w:tc>
        <w:tc>
          <w:tcPr>
            <w:tcW w:type="dxa" w:w="4560"/>
            <w:tcMar>
              <w:top w:type="dxa" w:w="95"/>
              <w:left w:type="dxa" w:w="135"/>
              <w:bottom w:type="dxa" w:w="95"/>
              <w:right w:type="dxa" w:w="135"/>
            </w:tcMar>
          </w:tcPr>
          <w:p>
            <w:r>
              <w:rPr>
                <w:sz w:val="20"/>
                <w:szCs w:val="20"/>
              </w:rPr>
              <w:t xml:space="preserve">Comma-separated permitted front-end origins</w:t>
            </w:r>
          </w:p>
        </w:tc>
      </w:tr>
      <w:tr>
        <w:tc>
          <w:tcPr>
            <w:tcW w:type="dxa" w:w="3400"/>
            <w:tcMar>
              <w:top w:type="dxa" w:w="95"/>
              <w:left w:type="dxa" w:w="135"/>
              <w:bottom w:type="dxa" w:w="95"/>
              <w:right w:type="dxa" w:w="135"/>
            </w:tcMar>
          </w:tcPr>
          <w:p>
            <w:r>
              <w:rPr>
                <w:rFonts w:ascii="Consolas" w:cs="Consolas" w:eastAsia="Consolas" w:hAnsi="Consolas"/>
                <w:sz w:val="18"/>
                <w:szCs w:val="18"/>
              </w:rPr>
              <w:t xml:space="preserve">FRONTEND_URL</w:t>
            </w:r>
          </w:p>
        </w:tc>
        <w:tc>
          <w:tcPr>
            <w:tcW w:type="dxa" w:w="1400"/>
            <w:tcMar>
              <w:top w:type="dxa" w:w="95"/>
              <w:left w:type="dxa" w:w="135"/>
              <w:bottom w:type="dxa" w:w="95"/>
              <w:right w:type="dxa" w:w="135"/>
            </w:tcMar>
          </w:tcPr>
          <w:p>
            <w:r>
              <w:rPr>
                <w:sz w:val="20"/>
                <w:szCs w:val="20"/>
              </w:rPr>
              <w:t xml:space="preserve">No</w:t>
            </w:r>
          </w:p>
        </w:tc>
        <w:tc>
          <w:tcPr>
            <w:tcW w:type="dxa" w:w="4560"/>
            <w:tcMar>
              <w:top w:type="dxa" w:w="95"/>
              <w:left w:type="dxa" w:w="135"/>
              <w:bottom w:type="dxa" w:w="95"/>
              <w:right w:type="dxa" w:w="135"/>
            </w:tcMar>
          </w:tcPr>
          <w:p>
            <w:r>
              <w:rPr>
                <w:sz w:val="20"/>
                <w:szCs w:val="20"/>
              </w:rPr>
              <w:t xml:space="preserve">Defaults to local development address</w:t>
            </w:r>
          </w:p>
        </w:tc>
      </w:tr>
    </w:tbl>
    <w:p>
      <w:pPr>
        <w:spacing w:after="130" w:line="285"/>
      </w:pPr>
      <w:r>
        <w:rPr>
          <w:rFonts w:ascii="Consolas" w:cs="Consolas" w:eastAsia="Consolas" w:hAnsi="Consolas"/>
          <w:color w:val="7B1FA2"/>
          <w:sz w:val="19"/>
          <w:szCs w:val="19"/>
        </w:rPr>
        <w:t xml:space="preserve">DATABASE_URL</w:t>
      </w:r>
      <w:r>
        <w:rPr>
          <w:sz w:val="21"/>
          <w:szCs w:val="21"/>
        </w:rPr>
        <w:t xml:space="preserve"> accepts the </w:t>
      </w:r>
      <w:r>
        <w:rPr>
          <w:rFonts w:ascii="Consolas" w:cs="Consolas" w:eastAsia="Consolas" w:hAnsi="Consolas"/>
          <w:color w:val="7B1FA2"/>
          <w:sz w:val="19"/>
          <w:szCs w:val="19"/>
        </w:rPr>
        <w:t xml:space="preserve">postgres://</w:t>
      </w:r>
      <w:r>
        <w:rPr>
          <w:sz w:val="21"/>
          <w:szCs w:val="21"/>
        </w:rPr>
        <w:t xml:space="preserve">, </w:t>
      </w:r>
      <w:r>
        <w:rPr>
          <w:rFonts w:ascii="Consolas" w:cs="Consolas" w:eastAsia="Consolas" w:hAnsi="Consolas"/>
          <w:color w:val="7B1FA2"/>
          <w:sz w:val="19"/>
          <w:szCs w:val="19"/>
        </w:rPr>
        <w:t xml:space="preserve">postgresql://</w:t>
      </w:r>
      <w:r>
        <w:rPr>
          <w:sz w:val="21"/>
          <w:szCs w:val="21"/>
        </w:rPr>
        <w:t xml:space="preserve"> and </w:t>
      </w:r>
      <w:r>
        <w:rPr>
          <w:rFonts w:ascii="Consolas" w:cs="Consolas" w:eastAsia="Consolas" w:hAnsi="Consolas"/>
          <w:color w:val="7B1FA2"/>
          <w:sz w:val="19"/>
          <w:szCs w:val="19"/>
        </w:rPr>
        <w:t xml:space="preserve">postgresql+asyncpg://</w:t>
      </w:r>
      <w:r>
        <w:rPr>
          <w:sz w:val="21"/>
          <w:szCs w:val="21"/>
        </w:rPr>
        <w:t xml:space="preserve"> schemes; the application normalises them.</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STORAGE_PUBLIC_URL is required but unused</w:t>
            </w:r>
          </w:p>
          <w:p>
            <w:pPr>
              <w:spacing w:after="65" w:line="285"/>
            </w:pPr>
            <w:r>
              <w:rPr>
                <w:sz w:val="21"/>
                <w:szCs w:val="21"/>
              </w:rPr>
              <w:t xml:space="preserve">The application will not start unless this variable is set, and no application code reads its value. It is a residual configuration item.</w:t>
            </w:r>
          </w:p>
          <w:p>
            <w:pPr>
              <w:spacing w:after="65" w:line="285"/>
            </w:pPr>
            <w:r>
              <w:rPr>
                <w:sz w:val="21"/>
                <w:szCs w:val="21"/>
              </w:rPr>
              <w:t xml:space="preserve">Set it to any non-empty value; the bucket URL is a reasonable choice. No behaviour depends on it.</w:t>
            </w:r>
          </w:p>
        </w:tc>
      </w:tr>
    </w:tbl>
    <w:p>
      <w:pPr>
        <w:pStyle w:val="Heading2"/>
        <w:spacing w:after="130" w:before="300"/>
      </w:pPr>
      <w:r>
        <w:rPr>
          <w:b/>
          <w:bCs/>
          <w:color w:val="1F3864"/>
          <w:sz w:val="24"/>
          <w:szCs w:val="24"/>
        </w:rPr>
        <w:t xml:space="preserve">4.3 Sequence of operations</w:t>
      </w:r>
    </w:p>
    <w:p>
      <w:pPr>
        <w:spacing w:after="130" w:line="285"/>
      </w:pPr>
      <w:r>
        <w:rPr>
          <w:b/>
          <w:bCs/>
          <w:sz w:val="21"/>
          <w:szCs w:val="21"/>
        </w:rPr>
        <w:t xml:space="preserve">The database must be restored before the application is started for the first time.</w:t>
      </w:r>
      <w:r>
        <w:rPr>
          <w:sz w:val="21"/>
          <w:szCs w:val="21"/>
        </w:rPr>
        <w:t xml:space="preserve"> See section 4.6 for the reason.</w:t>
      </w:r>
    </w:p>
    <w:p>
      <w:pPr>
        <w:pStyle w:val="ListParagraph"/>
        <w:numPr>
          <w:ilvl w:val="0"/>
          <w:numId w:val="3"/>
        </w:numPr>
        <w:spacing w:after="85" w:line="285"/>
      </w:pPr>
      <w:r>
        <w:rPr>
          <w:sz w:val="21"/>
          <w:szCs w:val="21"/>
        </w:rPr>
        <w:t xml:space="preserve">Provision an empty PostgreSQL database</w:t>
      </w:r>
    </w:p>
    <w:p>
      <w:pPr>
        <w:pStyle w:val="ListParagraph"/>
        <w:numPr>
          <w:ilvl w:val="0"/>
          <w:numId w:val="3"/>
        </w:numPr>
        <w:spacing w:after="85" w:line="285"/>
      </w:pPr>
      <w:r>
        <w:rPr>
          <w:sz w:val="21"/>
          <w:szCs w:val="21"/>
        </w:rPr>
        <w:t xml:space="preserve">Produce a dump from the source database (4.4)</w:t>
      </w:r>
    </w:p>
    <w:p>
      <w:pPr>
        <w:pStyle w:val="ListParagraph"/>
        <w:numPr>
          <w:ilvl w:val="0"/>
          <w:numId w:val="3"/>
        </w:numPr>
        <w:spacing w:after="85" w:line="285"/>
      </w:pPr>
      <w:r>
        <w:rPr>
          <w:sz w:val="21"/>
          <w:szCs w:val="21"/>
        </w:rPr>
        <w:t xml:space="preserve">Restore the dump into the new database (4.4)</w:t>
      </w:r>
    </w:p>
    <w:p>
      <w:pPr>
        <w:pStyle w:val="ListParagraph"/>
        <w:numPr>
          <w:ilvl w:val="0"/>
          <w:numId w:val="3"/>
        </w:numPr>
        <w:spacing w:after="85" w:line="285"/>
      </w:pPr>
      <w:r>
        <w:rPr>
          <w:sz w:val="21"/>
          <w:szCs w:val="21"/>
        </w:rPr>
        <w:t xml:space="preserve">Transfer or re-point object storage (4.5)</w:t>
      </w:r>
    </w:p>
    <w:p>
      <w:pPr>
        <w:pStyle w:val="ListParagraph"/>
        <w:numPr>
          <w:ilvl w:val="0"/>
          <w:numId w:val="3"/>
        </w:numPr>
        <w:spacing w:after="85" w:line="285"/>
      </w:pPr>
      <w:r>
        <w:rPr>
          <w:sz w:val="21"/>
          <w:szCs w:val="21"/>
        </w:rPr>
        <w:t xml:space="preserve">Verify row counts against the source (5)</w:t>
      </w:r>
    </w:p>
    <w:p>
      <w:pPr>
        <w:pStyle w:val="ListParagraph"/>
        <w:numPr>
          <w:ilvl w:val="0"/>
          <w:numId w:val="3"/>
        </w:numPr>
        <w:spacing w:after="85" w:line="285"/>
      </w:pPr>
      <w:r>
        <w:rPr>
          <w:sz w:val="21"/>
          <w:szCs w:val="21"/>
        </w:rPr>
        <w:t xml:space="preserve">Configure environment variables and start the API (4.2, 4.6)</w:t>
      </w:r>
    </w:p>
    <w:p>
      <w:pPr>
        <w:pStyle w:val="ListParagraph"/>
        <w:numPr>
          <w:ilvl w:val="0"/>
          <w:numId w:val="3"/>
        </w:numPr>
        <w:spacing w:after="85" w:line="285"/>
      </w:pPr>
      <w:r>
        <w:rPr>
          <w:sz w:val="21"/>
          <w:szCs w:val="21"/>
        </w:rPr>
        <w:t xml:space="preserve">Inspect startup logs for migration warnings (4.6)</w:t>
      </w:r>
    </w:p>
    <w:p>
      <w:pPr>
        <w:pStyle w:val="ListParagraph"/>
        <w:numPr>
          <w:ilvl w:val="0"/>
          <w:numId w:val="3"/>
        </w:numPr>
        <w:spacing w:after="85" w:line="285"/>
      </w:pPr>
      <w:r>
        <w:rPr>
          <w:sz w:val="21"/>
          <w:szCs w:val="21"/>
        </w:rPr>
        <w:t xml:space="preserve">Complete functional verification (5)</w:t>
      </w:r>
    </w:p>
    <w:p>
      <w:pPr>
        <w:pStyle w:val="Heading2"/>
        <w:spacing w:after="130" w:before="300"/>
      </w:pPr>
      <w:r>
        <w:rPr>
          <w:b/>
          <w:bCs/>
          <w:color w:val="1F3864"/>
          <w:sz w:val="24"/>
          <w:szCs w:val="24"/>
        </w:rPr>
        <w:t xml:space="preserve">4.4 Database dump and restore</w:t>
      </w:r>
    </w:p>
    <w:p>
      <w:pPr>
        <w:pStyle w:val="Heading3"/>
        <w:spacing w:after="110" w:before="220"/>
      </w:pPr>
      <w:r>
        <w:rPr>
          <w:b/>
          <w:bCs/>
          <w:color w:val="2E75B6"/>
          <w:sz w:val="22"/>
          <w:szCs w:val="22"/>
        </w:rPr>
        <w:t xml:space="preserve">Confirm the source version</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SELECT version();</w:t>
      </w:r>
    </w:p>
    <w:p>
      <w:pPr>
        <w:spacing w:after="130" w:line="285"/>
      </w:pPr>
      <w:r>
        <w:rPr>
          <w:sz w:val="21"/>
          <w:szCs w:val="21"/>
        </w:rPr>
        <w:t xml:space="preserve">Restoring into an earlier major version than the source will fail. Provision a matching or later major version.</w:t>
      </w:r>
    </w:p>
    <w:p>
      <w:pPr>
        <w:pStyle w:val="Heading3"/>
        <w:spacing w:after="110" w:before="220"/>
      </w:pPr>
      <w:r>
        <w:rPr>
          <w:b/>
          <w:bCs/>
          <w:color w:val="2E75B6"/>
          <w:sz w:val="22"/>
          <w:szCs w:val="22"/>
        </w:rPr>
        <w:t xml:space="preserve">Dump</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pg_dump \</w:t>
      </w:r>
      <w:r>
        <w:br/>
      </w:r>
      <w:r>
        <w:rPr>
          <w:rFonts w:ascii="Consolas" w:cs="Consolas" w:eastAsia="Consolas" w:hAnsi="Consolas"/>
          <w:sz w:val="18"/>
          <w:szCs w:val="18"/>
        </w:rPr>
        <w:t xml:space="preserve">  --format=custom \</w:t>
      </w:r>
      <w:r>
        <w:br/>
      </w:r>
      <w:r>
        <w:rPr>
          <w:rFonts w:ascii="Consolas" w:cs="Consolas" w:eastAsia="Consolas" w:hAnsi="Consolas"/>
          <w:sz w:val="18"/>
          <w:szCs w:val="18"/>
        </w:rPr>
        <w:t xml:space="preserve">  --no-owner \</w:t>
      </w:r>
      <w:r>
        <w:br/>
      </w:r>
      <w:r>
        <w:rPr>
          <w:rFonts w:ascii="Consolas" w:cs="Consolas" w:eastAsia="Consolas" w:hAnsi="Consolas"/>
          <w:sz w:val="18"/>
          <w:szCs w:val="18"/>
        </w:rPr>
        <w:t xml:space="preserve">  --no-privileges \</w:t>
      </w:r>
      <w:r>
        <w:br/>
      </w:r>
      <w:r>
        <w:rPr>
          <w:rFonts w:ascii="Consolas" w:cs="Consolas" w:eastAsia="Consolas" w:hAnsi="Consolas"/>
          <w:sz w:val="18"/>
          <w:szCs w:val="18"/>
        </w:rPr>
        <w:t xml:space="preserve">  --file=practicelab_$(date +%Y%m%d).dump \</w:t>
      </w:r>
      <w:r>
        <w:br/>
      </w:r>
      <w:r>
        <w:rPr>
          <w:rFonts w:ascii="Consolas" w:cs="Consolas" w:eastAsia="Consolas" w:hAnsi="Consolas"/>
          <w:sz w:val="18"/>
          <w:szCs w:val="18"/>
        </w:rPr>
        <w:t xml:space="preserve">  "postgresql://USER:PASSWORD@HOST:PORT/DBNAME"</w:t>
      </w:r>
    </w:p>
    <w:p>
      <w:pPr>
        <w:pStyle w:val="ListParagraph"/>
        <w:numPr>
          <w:ilvl w:val="0"/>
          <w:numId w:val="2"/>
        </w:numPr>
        <w:spacing w:after="85" w:line="285"/>
      </w:pPr>
      <w:r>
        <w:rPr>
          <w:rFonts w:ascii="Consolas" w:cs="Consolas" w:eastAsia="Consolas" w:hAnsi="Consolas"/>
          <w:color w:val="7B1FA2"/>
          <w:sz w:val="19"/>
          <w:szCs w:val="19"/>
        </w:rPr>
        <w:t xml:space="preserve">--no-owner</w:t>
      </w:r>
      <w:r>
        <w:rPr>
          <w:sz w:val="21"/>
          <w:szCs w:val="21"/>
        </w:rPr>
        <w:t xml:space="preserve"> and </w:t>
      </w:r>
      <w:r>
        <w:rPr>
          <w:rFonts w:ascii="Consolas" w:cs="Consolas" w:eastAsia="Consolas" w:hAnsi="Consolas"/>
          <w:color w:val="7B1FA2"/>
          <w:sz w:val="19"/>
          <w:szCs w:val="19"/>
        </w:rPr>
        <w:t xml:space="preserve">--no-privileges</w:t>
      </w:r>
      <w:r>
        <w:rPr>
          <w:sz w:val="21"/>
          <w:szCs w:val="21"/>
        </w:rPr>
        <w:t xml:space="preserve"> — role names differ between environments; without these the restore reports an error for every object</w:t>
      </w:r>
    </w:p>
    <w:p>
      <w:pPr>
        <w:pStyle w:val="ListParagraph"/>
        <w:numPr>
          <w:ilvl w:val="0"/>
          <w:numId w:val="2"/>
        </w:numPr>
        <w:spacing w:after="85" w:line="285"/>
      </w:pPr>
      <w:r>
        <w:rPr>
          <w:rFonts w:ascii="Consolas" w:cs="Consolas" w:eastAsia="Consolas" w:hAnsi="Consolas"/>
          <w:color w:val="7B1FA2"/>
          <w:sz w:val="19"/>
          <w:szCs w:val="19"/>
        </w:rPr>
        <w:t xml:space="preserve">--verbose</w:t>
      </w:r>
      <w:r>
        <w:rPr>
          <w:sz w:val="21"/>
          <w:szCs w:val="21"/>
        </w:rPr>
        <w:t xml:space="preserve"> may be added for per-object progress</w:t>
      </w:r>
    </w:p>
    <w:p>
      <w:pPr>
        <w:pStyle w:val="Heading3"/>
        <w:spacing w:after="110" w:before="220"/>
      </w:pPr>
      <w:r>
        <w:rPr>
          <w:b/>
          <w:bCs/>
          <w:color w:val="2E75B6"/>
          <w:sz w:val="22"/>
          <w:szCs w:val="22"/>
        </w:rPr>
        <w:t xml:space="preserve">Restore</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createdb practicelab</w:t>
      </w:r>
      <w:r>
        <w:br/>
      </w:r>
      <w:r>
        <w:rPr>
          <w:rFonts w:ascii="Consolas" w:cs="Consolas" w:eastAsia="Consolas" w:hAnsi="Consolas"/>
          <w:sz w:val="18"/>
          <w:szCs w:val="18"/>
        </w:rPr>
        <w:t xml:space="preserve"/>
      </w:r>
      <w:r>
        <w:br/>
      </w:r>
      <w:r>
        <w:rPr>
          <w:rFonts w:ascii="Consolas" w:cs="Consolas" w:eastAsia="Consolas" w:hAnsi="Consolas"/>
          <w:sz w:val="18"/>
          <w:szCs w:val="18"/>
        </w:rPr>
        <w:t xml:space="preserve">pg_restore \</w:t>
      </w:r>
      <w:r>
        <w:br/>
      </w:r>
      <w:r>
        <w:rPr>
          <w:rFonts w:ascii="Consolas" w:cs="Consolas" w:eastAsia="Consolas" w:hAnsi="Consolas"/>
          <w:sz w:val="18"/>
          <w:szCs w:val="18"/>
        </w:rPr>
        <w:t xml:space="preserve">  --no-owner \</w:t>
      </w:r>
      <w:r>
        <w:br/>
      </w:r>
      <w:r>
        <w:rPr>
          <w:rFonts w:ascii="Consolas" w:cs="Consolas" w:eastAsia="Consolas" w:hAnsi="Consolas"/>
          <w:sz w:val="18"/>
          <w:szCs w:val="18"/>
        </w:rPr>
        <w:t xml:space="preserve">  --no-privileges \</w:t>
      </w:r>
      <w:r>
        <w:br/>
      </w:r>
      <w:r>
        <w:rPr>
          <w:rFonts w:ascii="Consolas" w:cs="Consolas" w:eastAsia="Consolas" w:hAnsi="Consolas"/>
          <w:sz w:val="18"/>
          <w:szCs w:val="18"/>
        </w:rPr>
        <w:t xml:space="preserve">  --dbname="postgresql://USER:PASSWORD@HOST:PORT/practicelab" \</w:t>
      </w:r>
      <w:r>
        <w:br/>
      </w:r>
      <w:r>
        <w:rPr>
          <w:rFonts w:ascii="Consolas" w:cs="Consolas" w:eastAsia="Consolas" w:hAnsi="Consolas"/>
          <w:sz w:val="18"/>
          <w:szCs w:val="18"/>
        </w:rPr>
        <w:t xml:space="preserve">  practicelab_YYYYMMDD.dump</w:t>
      </w:r>
    </w:p>
    <w:p>
      <w:pPr>
        <w:spacing w:after="130" w:line="285"/>
      </w:pPr>
      <w:r>
        <w:rPr>
          <w:sz w:val="21"/>
          <w:szCs w:val="21"/>
        </w:rPr>
        <w:t xml:space="preserve">The restore is expected to complete without errors. Any error should be resolved before proceeding: a partially restored database will still start the application, because the startup migrations will create any missing table as empty.</w:t>
      </w:r>
    </w:p>
    <w:p>
      <w:pPr>
        <w:pStyle w:val="Heading2"/>
        <w:spacing w:after="130" w:before="300"/>
      </w:pPr>
      <w:r>
        <w:rPr>
          <w:b/>
          <w:bCs/>
          <w:color w:val="1F3864"/>
          <w:sz w:val="24"/>
          <w:szCs w:val="24"/>
        </w:rPr>
        <w:t xml:space="preserve">4.5 Storage transfer</w:t>
      </w:r>
    </w:p>
    <w:p>
      <w:pPr>
        <w:spacing w:after="130" w:line="285"/>
      </w:pPr>
      <w:r>
        <w:rPr>
          <w:sz w:val="21"/>
          <w:szCs w:val="21"/>
        </w:rPr>
        <w:t xml:space="preserve">Two approaches are available.</w:t>
      </w:r>
    </w:p>
    <w:p>
      <w:pPr>
        <w:spacing w:after="130" w:line="285"/>
      </w:pPr>
      <w:r>
        <w:rPr>
          <w:b/>
          <w:bCs/>
          <w:sz w:val="21"/>
          <w:szCs w:val="21"/>
        </w:rPr>
        <w:t xml:space="preserve">Re-point. </w:t>
      </w:r>
      <w:r>
        <w:rPr>
          <w:sz w:val="21"/>
          <w:szCs w:val="21"/>
        </w:rPr>
        <w:t xml:space="preserve">Configure the new environment against the existing bucket. No data is moved. The environment requires outbound access to the provider endpoint.</w:t>
      </w:r>
    </w:p>
    <w:p>
      <w:pPr>
        <w:spacing w:after="130" w:line="285"/>
      </w:pPr>
      <w:r>
        <w:rPr>
          <w:b/>
          <w:bCs/>
          <w:sz w:val="21"/>
          <w:szCs w:val="21"/>
        </w:rPr>
        <w:t xml:space="preserve">Transfer. </w:t>
      </w:r>
      <w:r>
        <w:rPr>
          <w:sz w:val="21"/>
          <w:szCs w:val="21"/>
        </w:rPr>
        <w:t xml:space="preserve">Copy objects to the target bucket:</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rclone sync SOURCE:BUCKET TARGET:BUCKET --progress</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aws s3 sync s3://SOURCE_BUCKET s3://TARGET_BUCKET \</w:t>
      </w:r>
      <w:r>
        <w:br/>
      </w:r>
      <w:r>
        <w:rPr>
          <w:rFonts w:ascii="Consolas" w:cs="Consolas" w:eastAsia="Consolas" w:hAnsi="Consolas"/>
          <w:sz w:val="18"/>
          <w:szCs w:val="18"/>
        </w:rPr>
        <w:t xml:space="preserve">  --endpoint-url https://&lt;ACCOUNT_ID&gt;.r2.cloudflarestorage.com</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Object keys must be preserved exactly</w:t>
            </w:r>
          </w:p>
          <w:p>
            <w:pPr>
              <w:spacing w:after="65" w:line="285"/>
            </w:pPr>
            <w:r>
              <w:rPr>
                <w:sz w:val="21"/>
                <w:szCs w:val="21"/>
              </w:rPr>
              <w:t xml:space="preserve">Keys are recorded in </w:t>
            </w:r>
            <w:r>
              <w:rPr>
                <w:rFonts w:ascii="Consolas" w:cs="Consolas" w:eastAsia="Consolas" w:hAnsi="Consolas"/>
                <w:sz w:val="19"/>
                <w:szCs w:val="19"/>
              </w:rPr>
              <w:t xml:space="preserve">chart_files.storage_key</w:t>
            </w:r>
            <w:r>
              <w:rPr>
                <w:sz w:val="21"/>
                <w:szCs w:val="21"/>
              </w:rPr>
              <w:t xml:space="preserve"> and are the sole reference from a database row to its image.</w:t>
            </w:r>
          </w:p>
          <w:p>
            <w:pPr>
              <w:spacing w:after="65" w:line="285"/>
            </w:pPr>
            <w:r>
              <w:rPr>
                <w:b/>
                <w:bCs/>
                <w:sz w:val="21"/>
                <w:szCs w:val="21"/>
              </w:rPr>
              <w:t xml:space="preserve">A transfer that adds a prefix or alters key structure will render every chart unreadable, with no error at migration time.</w:t>
            </w:r>
          </w:p>
        </w:tc>
      </w:tr>
    </w:tbl>
    <w:p>
      <w:pPr>
        <w:pStyle w:val="Heading2"/>
        <w:spacing w:after="130" w:before="300"/>
      </w:pPr>
      <w:r>
        <w:rPr>
          <w:b/>
          <w:bCs/>
          <w:color w:val="1F3864"/>
          <w:sz w:val="24"/>
          <w:szCs w:val="24"/>
        </w:rPr>
        <w:t xml:space="preserve">4.6 Application first start</w:t>
      </w:r>
    </w:p>
    <w:p>
      <w:pPr>
        <w:spacing w:after="130" w:line="285"/>
      </w:pPr>
      <w:r>
        <w:rPr>
          <w:rFonts w:ascii="Consolas" w:cs="Consolas" w:eastAsia="Consolas" w:hAnsi="Consolas"/>
          <w:color w:val="7B1FA2"/>
          <w:sz w:val="19"/>
          <w:szCs w:val="19"/>
        </w:rPr>
        <w:t xml:space="preserve">init_db()</w:t>
      </w:r>
      <w:r>
        <w:rPr>
          <w:sz w:val="21"/>
          <w:szCs w:val="21"/>
        </w:rPr>
        <w:t xml:space="preserve"> executes on every application start, not only the first. Three behaviours are relevant.</w:t>
      </w:r>
    </w:p>
    <w:p>
      <w:pPr>
        <w:pStyle w:val="Heading3"/>
        <w:spacing w:after="110" w:before="220"/>
      </w:pPr>
      <w:r>
        <w:rPr>
          <w:b/>
          <w:bCs/>
          <w:color w:val="2E75B6"/>
          <w:sz w:val="22"/>
          <w:szCs w:val="22"/>
        </w:rPr>
        <w:t xml:space="preserve">Sample data seeding</w:t>
      </w:r>
    </w:p>
    <w:p>
      <w:pPr>
        <w:spacing w:after="130" w:line="285"/>
      </w:pPr>
      <w:r>
        <w:rPr>
          <w:sz w:val="21"/>
          <w:szCs w:val="21"/>
        </w:rPr>
        <w:t xml:space="preserve">If </w:t>
      </w:r>
      <w:r>
        <w:rPr>
          <w:rFonts w:ascii="Consolas" w:cs="Consolas" w:eastAsia="Consolas" w:hAnsi="Consolas"/>
          <w:color w:val="7B1FA2"/>
          <w:sz w:val="19"/>
          <w:szCs w:val="19"/>
        </w:rPr>
        <w:t xml:space="preserve">assessment_questions</w:t>
      </w:r>
      <w:r>
        <w:rPr>
          <w:sz w:val="21"/>
          <w:szCs w:val="21"/>
        </w:rPr>
        <w:t xml:space="preserve"> is empty at startup, the application inserts a set of sample assessment questions. This determines the required ordering:</w:t>
      </w:r>
    </w:p>
    <w:p>
      <w:pPr>
        <w:pStyle w:val="ListParagraph"/>
        <w:numPr>
          <w:ilvl w:val="0"/>
          <w:numId w:val="2"/>
        </w:numPr>
        <w:spacing w:after="85" w:line="285"/>
      </w:pPr>
      <w:r>
        <w:rPr>
          <w:b/>
          <w:bCs/>
          <w:sz w:val="21"/>
          <w:szCs w:val="21"/>
        </w:rPr>
        <w:t xml:space="preserve">Restore, then start</w:t>
      </w:r>
      <w:r>
        <w:rPr>
          <w:sz w:val="21"/>
          <w:szCs w:val="21"/>
        </w:rPr>
        <w:t xml:space="preserve"> — the table is populated and seeding is skipped. Correct.</w:t>
      </w:r>
    </w:p>
    <w:p>
      <w:pPr>
        <w:pStyle w:val="ListParagraph"/>
        <w:numPr>
          <w:ilvl w:val="0"/>
          <w:numId w:val="2"/>
        </w:numPr>
        <w:spacing w:after="85" w:line="285"/>
      </w:pPr>
      <w:r>
        <w:rPr>
          <w:b/>
          <w:bCs/>
          <w:sz w:val="21"/>
          <w:szCs w:val="21"/>
        </w:rPr>
        <w:t xml:space="preserve">Start, then restore</w:t>
      </w:r>
      <w:r>
        <w:rPr>
          <w:sz w:val="21"/>
          <w:szCs w:val="21"/>
        </w:rPr>
        <w:t xml:space="preserve"> — seeded rows are present and the restore fails on unique constraint violations against </w:t>
      </w:r>
      <w:r>
        <w:rPr>
          <w:rFonts w:ascii="Consolas" w:cs="Consolas" w:eastAsia="Consolas" w:hAnsi="Consolas"/>
          <w:color w:val="7B1FA2"/>
          <w:sz w:val="19"/>
          <w:szCs w:val="19"/>
        </w:rPr>
        <w:t xml:space="preserve">question_id</w:t>
      </w:r>
      <w:r>
        <w:rPr>
          <w:sz w:val="21"/>
          <w:szCs w:val="21"/>
        </w:rPr>
        <w:t xml:space="preserve">.</w:t>
      </w:r>
    </w:p>
    <w:p>
      <w:pPr>
        <w:spacing w:after="130" w:line="285"/>
      </w:pPr>
      <w:r>
        <w:rPr>
          <w:sz w:val="21"/>
          <w:szCs w:val="21"/>
        </w:rPr>
        <w:t xml:space="preserve">If the application has already been started against the empty database, drop and recreate the database before restoring.</w:t>
      </w:r>
    </w:p>
    <w:p>
      <w:pPr>
        <w:pStyle w:val="Heading3"/>
        <w:spacing w:after="110" w:before="220"/>
      </w:pPr>
      <w:r>
        <w:rPr>
          <w:b/>
          <w:bCs/>
          <w:color w:val="2E75B6"/>
          <w:sz w:val="22"/>
          <w:szCs w:val="22"/>
        </w:rPr>
        <w:t xml:space="preserve">Log inspection</w:t>
      </w:r>
    </w:p>
    <w:p>
      <w:pPr>
        <w:spacing w:after="130" w:line="285"/>
      </w:pPr>
      <w:r>
        <w:rPr>
          <w:sz w:val="21"/>
          <w:szCs w:val="21"/>
        </w:rPr>
        <w:t xml:space="preserve">After the first start against the migrated database, search the startup logs for:</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Migration DDL failed</w:t>
      </w:r>
    </w:p>
    <w:p>
      <w:pPr>
        <w:spacing w:after="130" w:line="285"/>
      </w:pPr>
      <w:r>
        <w:rPr>
          <w:b/>
          <w:bCs/>
          <w:sz w:val="21"/>
          <w:szCs w:val="21"/>
        </w:rPr>
        <w:t xml:space="preserve">On a correctly restored database this must not appear. Any occurrence should be investigated before the environment is accepted.</w:t>
      </w:r>
    </w:p>
    <w:p>
      <w:r>
        <w:br w:type="page"/>
      </w:r>
    </w:p>
    <w:p>
      <w:pPr>
        <w:pStyle w:val="Heading1"/>
        <w:spacing w:after="170" w:before="400"/>
      </w:pPr>
      <w:r>
        <w:rPr>
          <w:b/>
          <w:bCs/>
          <w:color w:val="1F3864"/>
          <w:sz w:val="30"/>
          <w:szCs w:val="30"/>
        </w:rPr>
        <w:t xml:space="preserve">5. Verification</w:t>
      </w:r>
    </w:p>
    <w:p>
      <w:pPr>
        <w:pStyle w:val="Heading2"/>
        <w:spacing w:after="130" w:before="300"/>
      </w:pPr>
      <w:r>
        <w:rPr>
          <w:b/>
          <w:bCs/>
          <w:color w:val="1F3864"/>
          <w:sz w:val="24"/>
          <w:szCs w:val="24"/>
        </w:rPr>
        <w:t xml:space="preserve">5.1 Row counts</w:t>
      </w:r>
    </w:p>
    <w:p>
      <w:pPr>
        <w:spacing w:after="130" w:line="285"/>
      </w:pPr>
      <w:r>
        <w:rPr>
          <w:sz w:val="21"/>
          <w:szCs w:val="21"/>
        </w:rPr>
        <w:t xml:space="preserve">Execute against both source and target and compare:</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SELECT 'charts', COUNT(*) FROM charts</w:t>
      </w:r>
      <w:r>
        <w:br/>
      </w:r>
      <w:r>
        <w:rPr>
          <w:rFonts w:ascii="Consolas" w:cs="Consolas" w:eastAsia="Consolas" w:hAnsi="Consolas"/>
          <w:sz w:val="18"/>
          <w:szCs w:val="18"/>
        </w:rPr>
        <w:t xml:space="preserve">UNION ALL SELECT 'chart_files', COUNT(*) FROM chart_files</w:t>
      </w:r>
      <w:r>
        <w:br/>
      </w:r>
      <w:r>
        <w:rPr>
          <w:rFonts w:ascii="Consolas" w:cs="Consolas" w:eastAsia="Consolas" w:hAnsi="Consolas"/>
          <w:sz w:val="18"/>
          <w:szCs w:val="18"/>
        </w:rPr>
        <w:t xml:space="preserve">UNION ALL SELECT 'answer_keys', COUNT(*) FROM answer_keys</w:t>
      </w:r>
      <w:r>
        <w:br/>
      </w:r>
      <w:r>
        <w:rPr>
          <w:rFonts w:ascii="Consolas" w:cs="Consolas" w:eastAsia="Consolas" w:hAnsi="Consolas"/>
          <w:sz w:val="18"/>
          <w:szCs w:val="18"/>
        </w:rPr>
        <w:t xml:space="preserve">UNION ALL SELECT 'em_answer_keys', COUNT(*) FROM em_answer_keys</w:t>
      </w:r>
      <w:r>
        <w:br/>
      </w:r>
      <w:r>
        <w:rPr>
          <w:rFonts w:ascii="Consolas" w:cs="Consolas" w:eastAsia="Consolas" w:hAnsi="Consolas"/>
          <w:sz w:val="18"/>
          <w:szCs w:val="18"/>
        </w:rPr>
        <w:t xml:space="preserve">UNION ALL SELECT 'batches', COUNT(*) FROM batches</w:t>
      </w:r>
      <w:r>
        <w:br/>
      </w:r>
      <w:r>
        <w:rPr>
          <w:rFonts w:ascii="Consolas" w:cs="Consolas" w:eastAsia="Consolas" w:hAnsi="Consolas"/>
          <w:sz w:val="18"/>
          <w:szCs w:val="18"/>
        </w:rPr>
        <w:t xml:space="preserve">UNION ALL SELECT 'batch_charts', COUNT(*) FROM batch_charts</w:t>
      </w:r>
      <w:r>
        <w:br/>
      </w:r>
      <w:r>
        <w:rPr>
          <w:rFonts w:ascii="Consolas" w:cs="Consolas" w:eastAsia="Consolas" w:hAnsi="Consolas"/>
          <w:sz w:val="18"/>
          <w:szCs w:val="18"/>
        </w:rPr>
        <w:t xml:space="preserve">UNION ALL SELECT 'grading_results', COUNT(*) FROM grading_results</w:t>
      </w:r>
      <w:r>
        <w:br/>
      </w:r>
      <w:r>
        <w:rPr>
          <w:rFonts w:ascii="Consolas" w:cs="Consolas" w:eastAsia="Consolas" w:hAnsi="Consolas"/>
          <w:sz w:val="18"/>
          <w:szCs w:val="18"/>
        </w:rPr>
        <w:t xml:space="preserve">UNION ALL SELECT 'practice_sessions', COUNT(*) FROM practice_sessions</w:t>
      </w:r>
      <w:r>
        <w:br/>
      </w:r>
      <w:r>
        <w:rPr>
          <w:rFonts w:ascii="Consolas" w:cs="Consolas" w:eastAsia="Consolas" w:hAnsi="Consolas"/>
          <w:sz w:val="18"/>
          <w:szCs w:val="18"/>
        </w:rPr>
        <w:t xml:space="preserve">UNION ALL SELECT 'practice_results', COUNT(*) FROM practice_results</w:t>
      </w:r>
      <w:r>
        <w:br/>
      </w:r>
      <w:r>
        <w:rPr>
          <w:rFonts w:ascii="Consolas" w:cs="Consolas" w:eastAsia="Consolas" w:hAnsi="Consolas"/>
          <w:sz w:val="18"/>
          <w:szCs w:val="18"/>
        </w:rPr>
        <w:t xml:space="preserve">UNION ALL SELECT 'assessment_questions', COUNT(*) FROM assessment_questions</w:t>
      </w:r>
      <w:r>
        <w:br/>
      </w:r>
      <w:r>
        <w:rPr>
          <w:rFonts w:ascii="Consolas" w:cs="Consolas" w:eastAsia="Consolas" w:hAnsi="Consolas"/>
          <w:sz w:val="18"/>
          <w:szCs w:val="18"/>
        </w:rPr>
        <w:t xml:space="preserve">UNION ALL SELECT 'assessment_sessions', COUNT(*) FROM assessment_sessions</w:t>
      </w:r>
      <w:r>
        <w:br/>
      </w:r>
      <w:r>
        <w:rPr>
          <w:rFonts w:ascii="Consolas" w:cs="Consolas" w:eastAsia="Consolas" w:hAnsi="Consolas"/>
          <w:sz w:val="18"/>
          <w:szCs w:val="18"/>
        </w:rPr>
        <w:t xml:space="preserve">UNION ALL SELECT 'assessment_results', COUNT(*) FROM assessment_results</w:t>
      </w:r>
      <w:r>
        <w:br/>
      </w:r>
      <w:r>
        <w:rPr>
          <w:rFonts w:ascii="Consolas" w:cs="Consolas" w:eastAsia="Consolas" w:hAnsi="Consolas"/>
          <w:sz w:val="18"/>
          <w:szCs w:val="18"/>
        </w:rPr>
        <w:t xml:space="preserve">ORDER BY 1;</w:t>
      </w:r>
    </w:p>
    <w:p>
      <w:pPr>
        <w:pStyle w:val="Heading2"/>
        <w:spacing w:after="130" w:before="300"/>
      </w:pPr>
      <w:r>
        <w:rPr>
          <w:b/>
          <w:bCs/>
          <w:color w:val="1F3864"/>
          <w:sz w:val="24"/>
          <w:szCs w:val="24"/>
        </w:rPr>
        <w:t xml:space="preserve">5.2 Sequence positions</w:t>
      </w:r>
    </w:p>
    <w:p>
      <w:pPr>
        <w:spacing w:after="130" w:line="285"/>
      </w:pPr>
      <w:r>
        <w:rPr>
          <w:sz w:val="21"/>
          <w:szCs w:val="21"/>
        </w:rPr>
        <w:t xml:space="preserve">A custom-format restore normally restores sequence positions correctly. Verification is recommended: an incorrect sequence produces a duplicate key error on the first insert after go-live rather than at migration time. To correct one:</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SELECT setval(</w:t>
      </w:r>
      <w:r>
        <w:br/>
      </w:r>
      <w:r>
        <w:rPr>
          <w:rFonts w:ascii="Consolas" w:cs="Consolas" w:eastAsia="Consolas" w:hAnsi="Consolas"/>
          <w:sz w:val="18"/>
          <w:szCs w:val="18"/>
        </w:rPr>
        <w:t xml:space="preserve">  pg_get_serial_sequence('charts', 'id'),</w:t>
      </w:r>
      <w:r>
        <w:br/>
      </w:r>
      <w:r>
        <w:rPr>
          <w:rFonts w:ascii="Consolas" w:cs="Consolas" w:eastAsia="Consolas" w:hAnsi="Consolas"/>
          <w:sz w:val="18"/>
          <w:szCs w:val="18"/>
        </w:rPr>
        <w:t xml:space="preserve">  (SELECT COALESCE(MAX(id), 1) FROM charts)</w:t>
      </w:r>
      <w:r>
        <w:br/>
      </w:r>
      <w:r>
        <w:rPr>
          <w:rFonts w:ascii="Consolas" w:cs="Consolas" w:eastAsia="Consolas" w:hAnsi="Consolas"/>
          <w:sz w:val="18"/>
          <w:szCs w:val="18"/>
        </w:rPr>
        <w:t xml:space="preserve">);</w:t>
      </w:r>
    </w:p>
    <w:p>
      <w:pPr>
        <w:spacing w:after="130" w:line="285"/>
      </w:pPr>
      <w:r>
        <w:rPr>
          <w:sz w:val="21"/>
          <w:szCs w:val="21"/>
        </w:rPr>
        <w:t xml:space="preserve">Three tables were originally defined with </w:t>
      </w:r>
      <w:r>
        <w:rPr>
          <w:rFonts w:ascii="Consolas" w:cs="Consolas" w:eastAsia="Consolas" w:hAnsi="Consolas"/>
          <w:color w:val="7B1FA2"/>
          <w:sz w:val="19"/>
          <w:szCs w:val="19"/>
        </w:rPr>
        <w:t xml:space="preserve">INTEGER PRIMARY KEY</w:t>
      </w:r>
      <w:r>
        <w:rPr>
          <w:sz w:val="21"/>
          <w:szCs w:val="21"/>
        </w:rPr>
        <w:t xml:space="preserve"> and had sequences attached by later migration — </w:t>
      </w:r>
      <w:r>
        <w:rPr>
          <w:rFonts w:ascii="Consolas" w:cs="Consolas" w:eastAsia="Consolas" w:hAnsi="Consolas"/>
          <w:color w:val="7B1FA2"/>
          <w:sz w:val="19"/>
          <w:szCs w:val="19"/>
        </w:rPr>
        <w:t xml:space="preserve">practice_sessions, practice_chart_drafts, practice_results</w:t>
      </w:r>
      <w:r>
        <w:rPr>
          <w:sz w:val="21"/>
          <w:szCs w:val="21"/>
        </w:rPr>
        <w:t xml:space="preserve">. These warrant particular attention.</w:t>
      </w:r>
    </w:p>
    <w:p>
      <w:pPr>
        <w:pStyle w:val="Heading2"/>
        <w:spacing w:after="130" w:before="300"/>
      </w:pPr>
      <w:r>
        <w:rPr>
          <w:b/>
          <w:bCs/>
          <w:color w:val="1F3864"/>
          <w:sz w:val="24"/>
          <w:szCs w:val="24"/>
        </w:rPr>
        <w:t xml:space="preserve">5.3 Service checks</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curl -s https://&lt;internal-api-host&gt;/health</w:t>
      </w:r>
      <w:r>
        <w:br/>
      </w:r>
      <w:r>
        <w:rPr>
          <w:rFonts w:ascii="Consolas" w:cs="Consolas" w:eastAsia="Consolas" w:hAnsi="Consolas"/>
          <w:sz w:val="18"/>
          <w:szCs w:val="18"/>
        </w:rPr>
        <w:t xml:space="preserve"># {"status":"ok"}</w:t>
      </w:r>
    </w:p>
    <w:p>
      <w:pPr>
        <w:spacing w:after="130" w:line="285"/>
      </w:pPr>
      <w:r>
        <w:rPr>
          <w:rFonts w:ascii="Consolas" w:cs="Consolas" w:eastAsia="Consolas" w:hAnsi="Consolas"/>
          <w:color w:val="7B1FA2"/>
          <w:sz w:val="19"/>
          <w:szCs w:val="19"/>
        </w:rPr>
        <w:t xml:space="preserve">/health</w:t>
      </w:r>
      <w:r>
        <w:rPr>
          <w:sz w:val="21"/>
          <w:szCs w:val="21"/>
        </w:rPr>
        <w:t xml:space="preserve"> confirms process availability and does not access the database. For a database read:</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curl -s "https://&lt;internal-api-host&gt;/charts/search?page_size=1"</w:t>
      </w:r>
    </w:p>
    <w:p>
      <w:pPr>
        <w:pStyle w:val="Heading2"/>
        <w:spacing w:after="130" w:before="300"/>
      </w:pPr>
      <w:r>
        <w:rPr>
          <w:b/>
          <w:bCs/>
          <w:color w:val="1F3864"/>
          <w:sz w:val="24"/>
          <w:szCs w:val="24"/>
        </w:rPr>
        <w:t xml:space="preserve">5.4 Functional verification</w:t>
      </w:r>
    </w:p>
    <w:p>
      <w:pPr>
        <w:pStyle w:val="ListParagraph"/>
        <w:numPr>
          <w:ilvl w:val="0"/>
          <w:numId w:val="3"/>
        </w:numPr>
        <w:spacing w:after="85" w:line="285"/>
      </w:pPr>
      <w:r>
        <w:rPr>
          <w:sz w:val="21"/>
          <w:szCs w:val="21"/>
        </w:rPr>
        <w:t xml:space="preserve">Chart Library — locate a chart, open it, and confirm the page image renders</w:t>
      </w:r>
    </w:p>
    <w:p>
      <w:pPr>
        <w:pStyle w:val="ListParagraph"/>
        <w:numPr>
          <w:ilvl w:val="0"/>
          <w:numId w:val="3"/>
        </w:numPr>
        <w:spacing w:after="85" w:line="285"/>
      </w:pPr>
      <w:r>
        <w:rPr>
          <w:sz w:val="21"/>
          <w:szCs w:val="21"/>
        </w:rPr>
        <w:t xml:space="preserve">PracticeLab — open an existing batch and confirm results and scores are displayed</w:t>
      </w:r>
    </w:p>
    <w:p>
      <w:pPr>
        <w:pStyle w:val="ListParagraph"/>
        <w:numPr>
          <w:ilvl w:val="0"/>
          <w:numId w:val="3"/>
        </w:numPr>
        <w:spacing w:after="85" w:line="285"/>
      </w:pPr>
      <w:r>
        <w:rPr>
          <w:sz w:val="21"/>
          <w:szCs w:val="21"/>
        </w:rPr>
        <w:t xml:space="preserve">Assessment — open Analytics and confirm figures correspond to the source environment</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Storage failures are not visible in list views</w:t>
            </w:r>
          </w:p>
          <w:p>
            <w:pPr>
              <w:spacing w:after="65" w:line="285"/>
            </w:pPr>
            <w:r>
              <w:rPr>
                <w:sz w:val="21"/>
                <w:szCs w:val="21"/>
              </w:rPr>
              <w:t xml:space="preserve">A migration in which the database is transferred and object storage is not produces an application that appears entirely functional: charts are listed, batches open, results display and analytics compute. Every chart image is broken.</w:t>
            </w:r>
          </w:p>
          <w:p>
            <w:pPr>
              <w:spacing w:after="65" w:line="285"/>
            </w:pPr>
            <w:r>
              <w:rPr>
                <w:b/>
                <w:bCs/>
                <w:sz w:val="21"/>
                <w:szCs w:val="21"/>
              </w:rPr>
              <w:t xml:space="preserve">Verification must include opening a chart and confirming the page renders. Confirming that a chart appears in a list is not sufficient.</w:t>
            </w:r>
          </w:p>
        </w:tc>
      </w:tr>
    </w:tbl>
    <w:p>
      <w:r>
        <w:br w:type="page"/>
      </w:r>
    </w:p>
    <w:p>
      <w:pPr>
        <w:pStyle w:val="Heading1"/>
        <w:spacing w:after="170" w:before="400"/>
      </w:pPr>
      <w:r>
        <w:rPr>
          <w:b/>
          <w:bCs/>
          <w:color w:val="1F3864"/>
          <w:sz w:val="30"/>
          <w:szCs w:val="30"/>
        </w:rPr>
        <w:t xml:space="preserve">6. Operational notes</w:t>
      </w:r>
    </w:p>
    <w:p>
      <w:pPr>
        <w:pStyle w:val="Heading2"/>
        <w:spacing w:after="130" w:before="300"/>
      </w:pPr>
      <w:r>
        <w:rPr>
          <w:b/>
          <w:bCs/>
          <w:color w:val="1F3864"/>
          <w:sz w:val="24"/>
          <w:szCs w:val="24"/>
        </w:rPr>
        <w:t xml:space="preserve">6.1 Backups</w:t>
      </w:r>
    </w:p>
    <w:p>
      <w:pPr>
        <w:spacing w:after="130" w:line="285"/>
      </w:pPr>
      <w:r>
        <w:rPr>
          <w:sz w:val="21"/>
          <w:szCs w:val="21"/>
        </w:rPr>
        <w:t xml:space="preserve">The application performs no backups. Two independent schedules are required:</w:t>
      </w:r>
    </w:p>
    <w:p>
      <w:pPr>
        <w:pStyle w:val="ListParagraph"/>
        <w:numPr>
          <w:ilvl w:val="0"/>
          <w:numId w:val="2"/>
        </w:numPr>
        <w:spacing w:after="85" w:line="285"/>
      </w:pPr>
      <w:r>
        <w:rPr>
          <w:sz w:val="21"/>
          <w:szCs w:val="21"/>
        </w:rPr>
        <w:t xml:space="preserve">PostgreSQL — </w:t>
      </w:r>
      <w:r>
        <w:rPr>
          <w:rFonts w:ascii="Consolas" w:cs="Consolas" w:eastAsia="Consolas" w:hAnsi="Consolas"/>
          <w:color w:val="7B1FA2"/>
          <w:sz w:val="19"/>
          <w:szCs w:val="19"/>
        </w:rPr>
        <w:t xml:space="preserve">pg_dump</w:t>
      </w:r>
      <w:r>
        <w:rPr>
          <w:sz w:val="21"/>
          <w:szCs w:val="21"/>
        </w:rPr>
        <w:t xml:space="preserve"> on a scheduled basis, daily being typical</w:t>
      </w:r>
    </w:p>
    <w:p>
      <w:pPr>
        <w:pStyle w:val="ListParagraph"/>
        <w:numPr>
          <w:ilvl w:val="0"/>
          <w:numId w:val="2"/>
        </w:numPr>
        <w:spacing w:after="85" w:line="285"/>
      </w:pPr>
      <w:r>
        <w:rPr>
          <w:sz w:val="21"/>
          <w:szCs w:val="21"/>
        </w:rPr>
        <w:t xml:space="preserve">Object storage — bucket backup or replication, covering chart images</w:t>
      </w:r>
    </w:p>
    <w:p>
      <w:pPr>
        <w:spacing w:after="130" w:line="285"/>
      </w:pPr>
      <w:r>
        <w:rPr>
          <w:sz w:val="21"/>
          <w:szCs w:val="21"/>
        </w:rPr>
        <w:t xml:space="preserve">Neither protects the other. A database backup contains no chart images; a bucket backup contains no records.</w:t>
      </w:r>
    </w:p>
    <w:p>
      <w:pPr>
        <w:pStyle w:val="Heading2"/>
        <w:spacing w:after="130" w:before="300"/>
      </w:pPr>
      <w:r>
        <w:rPr>
          <w:b/>
          <w:bCs/>
          <w:color w:val="1F3864"/>
          <w:sz w:val="24"/>
          <w:szCs w:val="24"/>
        </w:rPr>
        <w:t xml:space="preserve">6.2 Deployments</w:t>
      </w:r>
    </w:p>
    <w:p>
      <w:pPr>
        <w:spacing w:after="130" w:line="285"/>
      </w:pPr>
      <w:r>
        <w:rPr>
          <w:sz w:val="21"/>
          <w:szCs w:val="21"/>
        </w:rPr>
        <w:t xml:space="preserve">Each release executes </w:t>
      </w:r>
      <w:r>
        <w:rPr>
          <w:rFonts w:ascii="Consolas" w:cs="Consolas" w:eastAsia="Consolas" w:hAnsi="Consolas"/>
          <w:color w:val="7B1FA2"/>
          <w:sz w:val="19"/>
          <w:szCs w:val="19"/>
        </w:rPr>
        <w:t xml:space="preserve">init_db()</w:t>
      </w:r>
      <w:r>
        <w:rPr>
          <w:sz w:val="21"/>
          <w:szCs w:val="21"/>
        </w:rPr>
        <w:t xml:space="preserve"> again and applies any new additive migrations automatically. Following a deployment that alters the schema, inspect logs for </w:t>
      </w:r>
      <w:r>
        <w:rPr>
          <w:rFonts w:ascii="Consolas" w:cs="Consolas" w:eastAsia="Consolas" w:hAnsi="Consolas"/>
          <w:color w:val="7B1FA2"/>
          <w:sz w:val="19"/>
          <w:szCs w:val="19"/>
        </w:rPr>
        <w:t xml:space="preserve">Migration DDL failed</w:t>
      </w:r>
      <w:r>
        <w:rPr>
          <w:sz w:val="21"/>
          <w:szCs w:val="21"/>
        </w:rPr>
        <w:t xml:space="preserve">.</w:t>
      </w:r>
    </w:p>
    <w:p>
      <w:pPr>
        <w:pStyle w:val="Heading2"/>
        <w:spacing w:after="130" w:before="300"/>
      </w:pPr>
      <w:r>
        <w:rPr>
          <w:b/>
          <w:bCs/>
          <w:color w:val="1F3864"/>
          <w:sz w:val="24"/>
          <w:szCs w:val="24"/>
        </w:rPr>
        <w:t xml:space="preserve">6.3 Rollback</w:t>
      </w:r>
    </w:p>
    <w:p>
      <w:pPr>
        <w:spacing w:after="130" w:line="285"/>
      </w:pPr>
      <w:r>
        <w:rPr>
          <w:sz w:val="21"/>
          <w:szCs w:val="21"/>
        </w:rPr>
        <w:t xml:space="preserve">Application rollback does not revert schema changes. Because migrations are additive, an earlier application revision will generally operate against a later schema, but this is not guaranteed and should be validated rather than assumed.</w:t>
      </w:r>
    </w:p>
    <w:p>
      <w:pPr>
        <w:pStyle w:val="Heading2"/>
        <w:spacing w:after="130" w:before="300"/>
      </w:pPr>
      <w:r>
        <w:rPr>
          <w:b/>
          <w:bCs/>
          <w:color w:val="1F3864"/>
          <w:sz w:val="24"/>
          <w:szCs w:val="24"/>
        </w:rPr>
        <w:t xml:space="preserve">6.4 Sizing</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SELECT COUNT(*) AS page_count FROM chart_files;</w:t>
      </w:r>
    </w:p>
    <w:p>
      <w:pPr>
        <w:spacing w:after="130" w:line="285"/>
      </w:pPr>
      <w:r>
        <w:rPr>
          <w:sz w:val="21"/>
          <w:szCs w:val="21"/>
        </w:rPr>
        <w:t xml:space="preserve">Each row corresponds to one PNG object. Rendered chart pages are typically a few hundred kilobytes. Querying the bucket directly gives an exact figure and is preferable to estimation. The database itself is small: text, codes and JSON, with no binary content.</w:t>
      </w:r>
    </w:p>
    <w:p>
      <w:r>
        <w:br w:type="page"/>
      </w:r>
    </w:p>
    <w:p>
      <w:pPr>
        <w:pStyle w:val="Heading1"/>
        <w:spacing w:after="170" w:before="400"/>
      </w:pPr>
      <w:r>
        <w:rPr>
          <w:b/>
          <w:bCs/>
          <w:color w:val="1F3864"/>
          <w:sz w:val="30"/>
          <w:szCs w:val="30"/>
        </w:rPr>
        <w:t xml:space="preserve">7. Decisions required</w:t>
      </w:r>
    </w:p>
    <w:p>
      <w:pPr>
        <w:spacing w:after="130" w:line="285"/>
      </w:pPr>
      <w:r>
        <w:rPr>
          <w:sz w:val="21"/>
          <w:szCs w:val="21"/>
        </w:rPr>
        <w:t xml:space="preserve">The following must be determined before the migration is scheduled.</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500"/>
        <w:gridCol w:w="5300"/>
        <w:gridCol w:w="1560"/>
        <w:gridCol w:w="2000"/>
      </w:tblGrid>
      <w:tr>
        <w:trPr>
          <w:tblHeader/>
        </w:trPr>
        <w:tc>
          <w:tcPr>
            <w:tcW w:type="dxa" w:w="500"/>
            <w:shd w:fill="DCE6F1" w:val="clear"/>
            <w:tcMar>
              <w:top w:type="dxa" w:w="95"/>
              <w:left w:type="dxa" w:w="135"/>
              <w:bottom w:type="dxa" w:w="95"/>
              <w:right w:type="dxa" w:w="135"/>
            </w:tcMar>
          </w:tcPr>
          <w:p>
            <w:r>
              <w:rPr>
                <w:b/>
                <w:bCs/>
                <w:color w:val="1F3864"/>
                <w:sz w:val="20"/>
                <w:szCs w:val="20"/>
              </w:rPr>
              <w:t xml:space="preserve">#</w:t>
            </w:r>
          </w:p>
        </w:tc>
        <w:tc>
          <w:tcPr>
            <w:tcW w:type="dxa" w:w="5300"/>
            <w:shd w:fill="DCE6F1" w:val="clear"/>
            <w:tcMar>
              <w:top w:type="dxa" w:w="95"/>
              <w:left w:type="dxa" w:w="135"/>
              <w:bottom w:type="dxa" w:w="95"/>
              <w:right w:type="dxa" w:w="135"/>
            </w:tcMar>
          </w:tcPr>
          <w:p>
            <w:r>
              <w:rPr>
                <w:b/>
                <w:bCs/>
                <w:color w:val="1F3864"/>
                <w:sz w:val="20"/>
                <w:szCs w:val="20"/>
              </w:rPr>
              <w:t xml:space="preserve">Decision</w:t>
            </w:r>
          </w:p>
        </w:tc>
        <w:tc>
          <w:tcPr>
            <w:tcW w:type="dxa" w:w="1560"/>
            <w:shd w:fill="DCE6F1" w:val="clear"/>
            <w:tcMar>
              <w:top w:type="dxa" w:w="95"/>
              <w:left w:type="dxa" w:w="135"/>
              <w:bottom w:type="dxa" w:w="95"/>
              <w:right w:type="dxa" w:w="135"/>
            </w:tcMar>
          </w:tcPr>
          <w:p>
            <w:r>
              <w:rPr>
                <w:b/>
                <w:bCs/>
                <w:color w:val="1F3864"/>
                <w:sz w:val="20"/>
                <w:szCs w:val="20"/>
              </w:rPr>
              <w:t xml:space="preserve">Reference</w:t>
            </w:r>
          </w:p>
        </w:tc>
        <w:tc>
          <w:tcPr>
            <w:tcW w:type="dxa" w:w="2000"/>
            <w:shd w:fill="DCE6F1" w:val="clear"/>
            <w:tcMar>
              <w:top w:type="dxa" w:w="95"/>
              <w:left w:type="dxa" w:w="135"/>
              <w:bottom w:type="dxa" w:w="95"/>
              <w:right w:type="dxa" w:w="135"/>
            </w:tcMar>
          </w:tcPr>
          <w:p>
            <w:r>
              <w:rPr>
                <w:b/>
                <w:bCs/>
                <w:color w:val="1F3864"/>
                <w:sz w:val="20"/>
                <w:szCs w:val="20"/>
              </w:rPr>
              <w:t xml:space="preserve">Owner</w:t>
            </w:r>
          </w:p>
        </w:tc>
      </w:tr>
      <w:tr>
        <w:tc>
          <w:tcPr>
            <w:tcW w:type="dxa" w:w="500"/>
            <w:tcMar>
              <w:top w:type="dxa" w:w="95"/>
              <w:left w:type="dxa" w:w="135"/>
              <w:bottom w:type="dxa" w:w="95"/>
              <w:right w:type="dxa" w:w="135"/>
            </w:tcMar>
          </w:tcPr>
          <w:p>
            <w:r>
              <w:rPr>
                <w:sz w:val="20"/>
                <w:szCs w:val="20"/>
              </w:rPr>
              <w:t xml:space="preserve">1</w:t>
            </w:r>
          </w:p>
        </w:tc>
        <w:tc>
          <w:tcPr>
            <w:tcW w:type="dxa" w:w="5300"/>
            <w:tcMar>
              <w:top w:type="dxa" w:w="95"/>
              <w:left w:type="dxa" w:w="135"/>
              <w:bottom w:type="dxa" w:w="95"/>
              <w:right w:type="dxa" w:w="135"/>
            </w:tcMar>
          </w:tcPr>
          <w:p>
            <w:r>
              <w:rPr>
                <w:sz w:val="20"/>
                <w:szCs w:val="20"/>
              </w:rPr>
              <w:t xml:space="preserve">PostgreSQL major version to provision</w:t>
            </w:r>
          </w:p>
        </w:tc>
        <w:tc>
          <w:tcPr>
            <w:tcW w:type="dxa" w:w="1560"/>
            <w:tcMar>
              <w:top w:type="dxa" w:w="95"/>
              <w:left w:type="dxa" w:w="135"/>
              <w:bottom w:type="dxa" w:w="95"/>
              <w:right w:type="dxa" w:w="135"/>
            </w:tcMar>
          </w:tcPr>
          <w:p>
            <w:r>
              <w:rPr>
                <w:sz w:val="20"/>
                <w:szCs w:val="20"/>
              </w:rPr>
              <w:t xml:space="preserve">4.4</w:t>
            </w:r>
          </w:p>
        </w:tc>
        <w:tc>
          <w:tcPr>
            <w:tcW w:type="dxa" w:w="2000"/>
            <w:tcMar>
              <w:top w:type="dxa" w:w="95"/>
              <w:left w:type="dxa" w:w="135"/>
              <w:bottom w:type="dxa" w:w="95"/>
              <w:right w:type="dxa" w:w="135"/>
            </w:tcMar>
          </w:tcPr>
          <w:p>
            <w:r>
              <w:rPr>
                <w:sz w:val="20"/>
                <w:szCs w:val="20"/>
              </w:rPr>
              <w:t xml:space="preserve"/>
            </w:r>
          </w:p>
        </w:tc>
      </w:tr>
      <w:tr>
        <w:tc>
          <w:tcPr>
            <w:tcW w:type="dxa" w:w="500"/>
            <w:tcMar>
              <w:top w:type="dxa" w:w="95"/>
              <w:left w:type="dxa" w:w="135"/>
              <w:bottom w:type="dxa" w:w="95"/>
              <w:right w:type="dxa" w:w="135"/>
            </w:tcMar>
          </w:tcPr>
          <w:p>
            <w:r>
              <w:rPr>
                <w:sz w:val="20"/>
                <w:szCs w:val="20"/>
              </w:rPr>
              <w:t xml:space="preserve">2</w:t>
            </w:r>
          </w:p>
        </w:tc>
        <w:tc>
          <w:tcPr>
            <w:tcW w:type="dxa" w:w="5300"/>
            <w:tcMar>
              <w:top w:type="dxa" w:w="95"/>
              <w:left w:type="dxa" w:w="135"/>
              <w:bottom w:type="dxa" w:w="95"/>
              <w:right w:type="dxa" w:w="135"/>
            </w:tcMar>
          </w:tcPr>
          <w:p>
            <w:r>
              <w:rPr>
                <w:sz w:val="20"/>
                <w:szCs w:val="20"/>
              </w:rPr>
              <w:t xml:space="preserve">Storage backend selection, and re-point or transfer</w:t>
            </w:r>
          </w:p>
        </w:tc>
        <w:tc>
          <w:tcPr>
            <w:tcW w:type="dxa" w:w="1560"/>
            <w:tcMar>
              <w:top w:type="dxa" w:w="95"/>
              <w:left w:type="dxa" w:w="135"/>
              <w:bottom w:type="dxa" w:w="95"/>
              <w:right w:type="dxa" w:w="135"/>
            </w:tcMar>
          </w:tcPr>
          <w:p>
            <w:r>
              <w:rPr>
                <w:sz w:val="20"/>
                <w:szCs w:val="20"/>
              </w:rPr>
              <w:t xml:space="preserve">3.3, 4.5</w:t>
            </w:r>
          </w:p>
        </w:tc>
        <w:tc>
          <w:tcPr>
            <w:tcW w:type="dxa" w:w="2000"/>
            <w:tcMar>
              <w:top w:type="dxa" w:w="95"/>
              <w:left w:type="dxa" w:w="135"/>
              <w:bottom w:type="dxa" w:w="95"/>
              <w:right w:type="dxa" w:w="135"/>
            </w:tcMar>
          </w:tcPr>
          <w:p>
            <w:r>
              <w:rPr>
                <w:sz w:val="20"/>
                <w:szCs w:val="20"/>
              </w:rPr>
              <w:t xml:space="preserve"/>
            </w:r>
          </w:p>
        </w:tc>
      </w:tr>
      <w:tr>
        <w:tc>
          <w:tcPr>
            <w:tcW w:type="dxa" w:w="500"/>
            <w:tcMar>
              <w:top w:type="dxa" w:w="95"/>
              <w:left w:type="dxa" w:w="135"/>
              <w:bottom w:type="dxa" w:w="95"/>
              <w:right w:type="dxa" w:w="135"/>
            </w:tcMar>
          </w:tcPr>
          <w:p>
            <w:r>
              <w:rPr>
                <w:sz w:val="20"/>
                <w:szCs w:val="20"/>
              </w:rPr>
              <w:t xml:space="preserve">3</w:t>
            </w:r>
          </w:p>
        </w:tc>
        <w:tc>
          <w:tcPr>
            <w:tcW w:type="dxa" w:w="5300"/>
            <w:tcMar>
              <w:top w:type="dxa" w:w="95"/>
              <w:left w:type="dxa" w:w="135"/>
              <w:bottom w:type="dxa" w:w="95"/>
              <w:right w:type="dxa" w:w="135"/>
            </w:tcMar>
          </w:tcPr>
          <w:p>
            <w:r>
              <w:rPr>
                <w:sz w:val="20"/>
                <w:szCs w:val="20"/>
              </w:rPr>
              <w:t xml:space="preserve">Custodianship and rotation policy for MASTER_ADMIN_PASSPHRASE</w:t>
            </w:r>
          </w:p>
        </w:tc>
        <w:tc>
          <w:tcPr>
            <w:tcW w:type="dxa" w:w="1560"/>
            <w:tcMar>
              <w:top w:type="dxa" w:w="95"/>
              <w:left w:type="dxa" w:w="135"/>
              <w:bottom w:type="dxa" w:w="95"/>
              <w:right w:type="dxa" w:w="135"/>
            </w:tcMar>
          </w:tcPr>
          <w:p>
            <w:r>
              <w:rPr>
                <w:sz w:val="20"/>
                <w:szCs w:val="20"/>
              </w:rPr>
              <w:t xml:space="preserve">4.2</w:t>
            </w:r>
          </w:p>
        </w:tc>
        <w:tc>
          <w:tcPr>
            <w:tcW w:type="dxa" w:w="2000"/>
            <w:tcMar>
              <w:top w:type="dxa" w:w="95"/>
              <w:left w:type="dxa" w:w="135"/>
              <w:bottom w:type="dxa" w:w="95"/>
              <w:right w:type="dxa" w:w="135"/>
            </w:tcMar>
          </w:tcPr>
          <w:p>
            <w:r>
              <w:rPr>
                <w:sz w:val="20"/>
                <w:szCs w:val="20"/>
              </w:rPr>
              <w:t xml:space="preserve"/>
            </w:r>
          </w:p>
        </w:tc>
      </w:tr>
      <w:tr>
        <w:tc>
          <w:tcPr>
            <w:tcW w:type="dxa" w:w="500"/>
            <w:tcMar>
              <w:top w:type="dxa" w:w="95"/>
              <w:left w:type="dxa" w:w="135"/>
              <w:bottom w:type="dxa" w:w="95"/>
              <w:right w:type="dxa" w:w="135"/>
            </w:tcMar>
          </w:tcPr>
          <w:p>
            <w:r>
              <w:rPr>
                <w:sz w:val="20"/>
                <w:szCs w:val="20"/>
              </w:rPr>
              <w:t xml:space="preserve">4</w:t>
            </w:r>
          </w:p>
        </w:tc>
        <w:tc>
          <w:tcPr>
            <w:tcW w:type="dxa" w:w="5300"/>
            <w:tcMar>
              <w:top w:type="dxa" w:w="95"/>
              <w:left w:type="dxa" w:w="135"/>
              <w:bottom w:type="dxa" w:w="95"/>
              <w:right w:type="dxa" w:w="135"/>
            </w:tcMar>
          </w:tcPr>
          <w:p>
            <w:r>
              <w:rPr>
                <w:sz w:val="20"/>
                <w:szCs w:val="20"/>
              </w:rPr>
              <w:t xml:space="preserve">Front-end origin for CORS_ORIGINS</w:t>
            </w:r>
          </w:p>
        </w:tc>
        <w:tc>
          <w:tcPr>
            <w:tcW w:type="dxa" w:w="1560"/>
            <w:tcMar>
              <w:top w:type="dxa" w:w="95"/>
              <w:left w:type="dxa" w:w="135"/>
              <w:bottom w:type="dxa" w:w="95"/>
              <w:right w:type="dxa" w:w="135"/>
            </w:tcMar>
          </w:tcPr>
          <w:p>
            <w:r>
              <w:rPr>
                <w:sz w:val="20"/>
                <w:szCs w:val="20"/>
              </w:rPr>
              <w:t xml:space="preserve">4.2</w:t>
            </w:r>
          </w:p>
        </w:tc>
        <w:tc>
          <w:tcPr>
            <w:tcW w:type="dxa" w:w="2000"/>
            <w:tcMar>
              <w:top w:type="dxa" w:w="95"/>
              <w:left w:type="dxa" w:w="135"/>
              <w:bottom w:type="dxa" w:w="95"/>
              <w:right w:type="dxa" w:w="135"/>
            </w:tcMar>
          </w:tcPr>
          <w:p>
            <w:r>
              <w:rPr>
                <w:sz w:val="20"/>
                <w:szCs w:val="20"/>
              </w:rPr>
              <w:t xml:space="preserve"/>
            </w:r>
          </w:p>
        </w:tc>
      </w:tr>
      <w:tr>
        <w:tc>
          <w:tcPr>
            <w:tcW w:type="dxa" w:w="500"/>
            <w:tcMar>
              <w:top w:type="dxa" w:w="95"/>
              <w:left w:type="dxa" w:w="135"/>
              <w:bottom w:type="dxa" w:w="95"/>
              <w:right w:type="dxa" w:w="135"/>
            </w:tcMar>
          </w:tcPr>
          <w:p>
            <w:r>
              <w:rPr>
                <w:sz w:val="20"/>
                <w:szCs w:val="20"/>
              </w:rPr>
              <w:t xml:space="preserve">5</w:t>
            </w:r>
          </w:p>
        </w:tc>
        <w:tc>
          <w:tcPr>
            <w:tcW w:type="dxa" w:w="5300"/>
            <w:tcMar>
              <w:top w:type="dxa" w:w="95"/>
              <w:left w:type="dxa" w:w="135"/>
              <w:bottom w:type="dxa" w:w="95"/>
              <w:right w:type="dxa" w:w="135"/>
            </w:tcMar>
          </w:tcPr>
          <w:p>
            <w:r>
              <w:rPr>
                <w:sz w:val="20"/>
                <w:szCs w:val="20"/>
              </w:rPr>
              <w:t xml:space="preserve">Backup schedule and retention for database and bucket</w:t>
            </w:r>
          </w:p>
        </w:tc>
        <w:tc>
          <w:tcPr>
            <w:tcW w:type="dxa" w:w="1560"/>
            <w:tcMar>
              <w:top w:type="dxa" w:w="95"/>
              <w:left w:type="dxa" w:w="135"/>
              <w:bottom w:type="dxa" w:w="95"/>
              <w:right w:type="dxa" w:w="135"/>
            </w:tcMar>
          </w:tcPr>
          <w:p>
            <w:r>
              <w:rPr>
                <w:sz w:val="20"/>
                <w:szCs w:val="20"/>
              </w:rPr>
              <w:t xml:space="preserve">6.1</w:t>
            </w:r>
          </w:p>
        </w:tc>
        <w:tc>
          <w:tcPr>
            <w:tcW w:type="dxa" w:w="2000"/>
            <w:tcMar>
              <w:top w:type="dxa" w:w="95"/>
              <w:left w:type="dxa" w:w="135"/>
              <w:bottom w:type="dxa" w:w="95"/>
              <w:right w:type="dxa" w:w="135"/>
            </w:tcMar>
          </w:tcPr>
          <w:p>
            <w:r>
              <w:rPr>
                <w:sz w:val="20"/>
                <w:szCs w:val="20"/>
              </w:rPr>
              <w:t xml:space="preserve"/>
            </w:r>
          </w:p>
        </w:tc>
      </w:tr>
      <w:tr>
        <w:tc>
          <w:tcPr>
            <w:tcW w:type="dxa" w:w="500"/>
            <w:tcMar>
              <w:top w:type="dxa" w:w="95"/>
              <w:left w:type="dxa" w:w="135"/>
              <w:bottom w:type="dxa" w:w="95"/>
              <w:right w:type="dxa" w:w="135"/>
            </w:tcMar>
          </w:tcPr>
          <w:p>
            <w:r>
              <w:rPr>
                <w:sz w:val="20"/>
                <w:szCs w:val="20"/>
              </w:rPr>
              <w:t xml:space="preserve">6</w:t>
            </w:r>
          </w:p>
        </w:tc>
        <w:tc>
          <w:tcPr>
            <w:tcW w:type="dxa" w:w="5300"/>
            <w:tcMar>
              <w:top w:type="dxa" w:w="95"/>
              <w:left w:type="dxa" w:w="135"/>
              <w:bottom w:type="dxa" w:w="95"/>
              <w:right w:type="dxa" w:w="135"/>
            </w:tcMar>
          </w:tcPr>
          <w:p>
            <w:r>
              <w:rPr>
                <w:sz w:val="20"/>
                <w:szCs w:val="20"/>
              </w:rPr>
              <w:t xml:space="preserve">Network path from the backend to the selected storage</w:t>
            </w:r>
          </w:p>
        </w:tc>
        <w:tc>
          <w:tcPr>
            <w:tcW w:type="dxa" w:w="1560"/>
            <w:tcMar>
              <w:top w:type="dxa" w:w="95"/>
              <w:left w:type="dxa" w:w="135"/>
              <w:bottom w:type="dxa" w:w="95"/>
              <w:right w:type="dxa" w:w="135"/>
            </w:tcMar>
          </w:tcPr>
          <w:p>
            <w:r>
              <w:rPr>
                <w:sz w:val="20"/>
                <w:szCs w:val="20"/>
              </w:rPr>
              <w:t xml:space="preserve">3.3</w:t>
            </w:r>
          </w:p>
        </w:tc>
        <w:tc>
          <w:tcPr>
            <w:tcW w:type="dxa" w:w="2000"/>
            <w:tcMar>
              <w:top w:type="dxa" w:w="95"/>
              <w:left w:type="dxa" w:w="135"/>
              <w:bottom w:type="dxa" w:w="95"/>
              <w:right w:type="dxa" w:w="135"/>
            </w:tcMar>
          </w:tcPr>
          <w:p>
            <w:r>
              <w:rPr>
                <w:sz w:val="20"/>
                <w:szCs w:val="20"/>
              </w:rPr>
              <w:t xml:space="preserve"/>
            </w:r>
          </w:p>
        </w:tc>
      </w:tr>
    </w:tbl>
    <w:p>
      <w:pPr>
        <w:spacing w:after="130" w:line="285"/>
      </w:pPr>
      <w:r>
        <w:rPr>
          <w:i/>
          <w:iCs/>
          <w:color w:val="595959"/>
          <w:sz w:val="21"/>
          <w:szCs w:val="21"/>
        </w:rPr>
        <w:t xml:space="preserve">A mismatched CORS_ORIGINS value produces a front end that loads successfully and fails every subsequent request; it is worth confirming explicitly rather than assuming a default.</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PracticeLab — Data Architecture and Migration Specification   |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30"/>
      </w:pPr>
    </w:lvl>
    <w:lvl w:ilvl="1" w15:tentative="1">
      <w:start w:val="1"/>
      <w:numFmt w:val="bullet"/>
      <w:lvlText w:val="◦"/>
      <w:lvlJc w:val="left"/>
      <w:pPr>
        <w:ind w:left="740" w:hanging="230"/>
      </w:pPr>
    </w:lvl>
  </w:abstractNum>
  <w:abstractNum w:abstractNumId="3" w15:restartNumberingAfterBreak="0">
    <w:multiLevelType w:val="hybridMultilevel"/>
    <w:lvl w:ilvl="0" w15:tentative="1">
      <w:start w:val="1"/>
      <w:numFmt w:val="decimal"/>
      <w:lvlText w:val="%1."/>
      <w:lvlJc w:val="left"/>
      <w:pPr>
        <w:ind w:left="38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b4e555b81b753f57102c84d464a99b0fd49d430.png"/><Relationship Id="rId9" Type="http://schemas.openxmlformats.org/officeDocument/2006/relationships/image" Target="media/e09c6dbefaae60c6eed3a140490c99bb4066cffe.png"/><Relationship Id="rId10" Type="http://schemas.openxmlformats.org/officeDocument/2006/relationships/image" Target="media/57ff05c90bf222344479790291d326f3594831a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PracticeLab — Data Architecture and Migration Specification</dc:title>
  <dc:creator>PracticeLab</dc:creator>
  <dc:description>Database, object storage and migration procedure</dc:description>
  <cp:lastModifiedBy>Un-named</cp:lastModifiedBy>
  <cp:revision>1</cp:revision>
  <dcterms:created xsi:type="dcterms:W3CDTF">2026-08-12T15:19:09.022Z</dcterms:created>
  <dcterms:modified xsi:type="dcterms:W3CDTF">2026-08-12T15:19:09.025Z</dcterms:modified>
</cp:coreProperties>
</file>

<file path=docProps/custom.xml><?xml version="1.0" encoding="utf-8"?>
<Properties xmlns="http://schemas.openxmlformats.org/officeDocument/2006/custom-properties" xmlns:vt="http://schemas.openxmlformats.org/officeDocument/2006/docPropsVTypes"/>
</file>