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Access Control Design</w:t>
      </w:r>
    </w:p>
    <w:p>
      <w:pPr>
        <w:pBdr>
          <w:top w:val="single" w:color="BFBFBF" w:sz="6"/>
        </w:pBdr>
        <w:spacing w:after="60"/>
        <w:jc w:val="center"/>
      </w:pPr>
      <w:r>
        <w:t xml:space="preserve"/>
      </w:r>
    </w:p>
    <w:p>
      <w:pPr>
        <w:spacing w:after="90" w:before="220"/>
        <w:jc w:val="center"/>
      </w:pPr>
      <w:r>
        <w:rPr>
          <w:i/>
          <w:iCs/>
          <w:color w:val="595959"/>
          <w:sz w:val="21"/>
          <w:szCs w:val="21"/>
        </w:rPr>
        <w:t xml:space="preserve">Roles · authentication · authorisation</w:t>
      </w:r>
    </w:p>
    <w:p>
      <w:pPr>
        <w:spacing w:after="90"/>
        <w:jc w:val="center"/>
      </w:pPr>
      <w:r>
        <w:rPr>
          <w:color w:val="595959"/>
          <w:sz w:val="20"/>
          <w:szCs w:val="20"/>
        </w:rPr>
        <w:t xml:space="preserve">Audience: information security, identity and application engineers</w:t>
      </w:r>
    </w:p>
    <w:p>
      <w:pPr>
        <w:spacing w:before="560"/>
        <w:jc w:val="center"/>
      </w:pPr>
      <w:r>
        <w:rPr>
          <w:color w:val="B23A33"/>
          <w:sz w:val="19"/>
          <w:szCs w:val="19"/>
        </w:rPr>
        <w:t xml:space="preserve">Version 1.0  ·  24 August 2026  ·  PROPOSAL, NOT YET BUILT</w:t>
      </w:r>
    </w:p>
    <w:p>
      <w:r>
        <w:br w:type="page"/>
      </w:r>
    </w:p>
    <w:p>
      <w:pPr>
        <w:pStyle w:val="Heading1"/>
        <w:spacing w:after="170" w:before="400"/>
      </w:pPr>
      <w:r>
        <w:rPr>
          <w:b/>
          <w:bCs/>
          <w:color w:val="1F3864"/>
          <w:sz w:val="30"/>
          <w:szCs w:val="30"/>
        </w:rPr>
        <w:t xml:space="preserve">About this document</w:t>
      </w:r>
    </w:p>
    <w:p>
      <w:pPr>
        <w:spacing w:after="130" w:line="285"/>
      </w:pPr>
      <w:r>
        <w:rPr>
          <w:sz w:val="21"/>
          <w:szCs w:val="21"/>
        </w:rPr>
        <w:t xml:space="preserve">PracticeLab trains and assesses medical coders. This document proposes how access to it should be controlled once it is running inside the organisation, and records the design decisions behind that proposal.</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Nothing described here is built yet</w:t>
            </w:r>
          </w:p>
          <w:p>
            <w:pPr>
              <w:spacing w:after="65" w:line="285"/>
            </w:pPr>
            <w:r>
              <w:rPr>
                <w:sz w:val="21"/>
                <w:szCs w:val="21"/>
              </w:rPr>
              <w:t xml:space="preserve">This is a design for review, not a description of the system. Section 1 states what the application does today, which is materially weaker, and should be read first.</w:t>
            </w:r>
          </w:p>
          <w:p>
            <w:pPr>
              <w:spacing w:after="65" w:line="285"/>
            </w:pPr>
            <w:r>
              <w:rPr>
                <w:b/>
                <w:bCs/>
                <w:sz w:val="21"/>
                <w:szCs w:val="21"/>
              </w:rPr>
              <w:t xml:space="preserve">The measurements in section 1 were taken from the running application and are accurate as of the date on the cover.</w:t>
            </w:r>
          </w:p>
        </w:tc>
      </w:tr>
    </w:tbl>
    <w:p>
      <w:pPr>
        <w:pStyle w:val="Heading2"/>
        <w:spacing w:after="130" w:before="300"/>
      </w:pPr>
      <w:r>
        <w:rPr>
          <w:b/>
          <w:bCs/>
          <w:color w:val="1F3864"/>
          <w:sz w:val="24"/>
          <w:szCs w:val="24"/>
        </w:rPr>
        <w:t xml:space="preserve">Decisions already taken</w:t>
      </w:r>
    </w:p>
    <w:p>
      <w:pPr>
        <w:spacing w:after="130" w:line="285"/>
      </w:pPr>
      <w:r>
        <w:rPr>
          <w:sz w:val="21"/>
          <w:szCs w:val="21"/>
        </w:rPr>
        <w:t xml:space="preserve">Three questions were settled with the application owner before this design was written. They are recorded because the design depends on them, and changing any of them changes the answer.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700"/>
        <w:gridCol w:w="1250"/>
        <w:gridCol w:w="4410"/>
      </w:tblGrid>
      <w:tr>
        <w:trPr>
          <w:tblHeader/>
        </w:trPr>
        <w:tc>
          <w:tcPr>
            <w:tcW w:type="dxa" w:w="3700"/>
            <w:shd w:fill="DCE6F1" w:val="clear"/>
            <w:tcMar>
              <w:top w:type="dxa" w:w="95"/>
              <w:left w:type="dxa" w:w="135"/>
              <w:bottom w:type="dxa" w:w="95"/>
              <w:right w:type="dxa" w:w="135"/>
            </w:tcMar>
          </w:tcPr>
          <w:p>
            <w:r>
              <w:rPr>
                <w:b/>
                <w:bCs/>
                <w:color w:val="1F3864"/>
                <w:sz w:val="20"/>
                <w:szCs w:val="20"/>
              </w:rPr>
              <w:t xml:space="preserve">Question</w:t>
            </w:r>
          </w:p>
        </w:tc>
        <w:tc>
          <w:tcPr>
            <w:tcW w:type="dxa" w:w="1250"/>
            <w:shd w:fill="DCE6F1" w:val="clear"/>
            <w:tcMar>
              <w:top w:type="dxa" w:w="95"/>
              <w:left w:type="dxa" w:w="135"/>
              <w:bottom w:type="dxa" w:w="95"/>
              <w:right w:type="dxa" w:w="135"/>
            </w:tcMar>
          </w:tcPr>
          <w:p>
            <w:r>
              <w:rPr>
                <w:b/>
                <w:bCs/>
                <w:color w:val="1F3864"/>
                <w:sz w:val="20"/>
                <w:szCs w:val="20"/>
              </w:rPr>
              <w:t xml:space="preserve">Answer</w:t>
            </w:r>
          </w:p>
        </w:tc>
        <w:tc>
          <w:tcPr>
            <w:tcW w:type="dxa" w:w="4410"/>
            <w:shd w:fill="DCE6F1" w:val="clear"/>
            <w:tcMar>
              <w:top w:type="dxa" w:w="95"/>
              <w:left w:type="dxa" w:w="135"/>
              <w:bottom w:type="dxa" w:w="95"/>
              <w:right w:type="dxa" w:w="135"/>
            </w:tcMar>
          </w:tcPr>
          <w:p>
            <w:r>
              <w:rPr>
                <w:b/>
                <w:bCs/>
                <w:color w:val="1F3864"/>
                <w:sz w:val="20"/>
                <w:szCs w:val="20"/>
              </w:rPr>
              <w:t xml:space="preserve">Consequence</w:t>
            </w:r>
          </w:p>
        </w:tc>
      </w:tr>
      <w:tr>
        <w:tc>
          <w:tcPr>
            <w:tcW w:type="dxa" w:w="3700"/>
            <w:tcMar>
              <w:top w:type="dxa" w:w="95"/>
              <w:left w:type="dxa" w:w="135"/>
              <w:bottom w:type="dxa" w:w="95"/>
              <w:right w:type="dxa" w:w="135"/>
            </w:tcMar>
          </w:tcPr>
          <w:p>
            <w:r>
              <w:rPr>
                <w:sz w:val="20"/>
                <w:szCs w:val="20"/>
              </w:rPr>
              <w:t xml:space="preserve">Do assessment scores carry consequences for the individual?</w:t>
            </w:r>
          </w:p>
        </w:tc>
        <w:tc>
          <w:tcPr>
            <w:tcW w:type="dxa" w:w="1250"/>
            <w:tcMar>
              <w:top w:type="dxa" w:w="95"/>
              <w:left w:type="dxa" w:w="135"/>
              <w:bottom w:type="dxa" w:w="95"/>
              <w:right w:type="dxa" w:w="135"/>
            </w:tcMar>
          </w:tcPr>
          <w:p>
            <w:r>
              <w:rPr>
                <w:b/>
                <w:bCs/>
                <w:sz w:val="20"/>
                <w:szCs w:val="20"/>
              </w:rPr>
              <w:t xml:space="preserve">Yes</w:t>
            </w:r>
          </w:p>
        </w:tc>
        <w:tc>
          <w:tcPr>
            <w:tcW w:type="dxa" w:w="4410"/>
            <w:tcMar>
              <w:top w:type="dxa" w:w="95"/>
              <w:left w:type="dxa" w:w="135"/>
              <w:bottom w:type="dxa" w:w="95"/>
              <w:right w:type="dxa" w:w="135"/>
            </w:tcMar>
          </w:tcPr>
          <w:p>
            <w:r>
              <w:rPr>
                <w:sz w:val="20"/>
                <w:szCs w:val="20"/>
              </w:rPr>
              <w:t xml:space="preserve">Verified identity becomes a correctness requirement, not a hardening measure. A shared or forwarded credential produces a falsified record.</w:t>
            </w:r>
          </w:p>
        </w:tc>
      </w:tr>
      <w:tr>
        <w:tc>
          <w:tcPr>
            <w:tcW w:type="dxa" w:w="3700"/>
            <w:tcMar>
              <w:top w:type="dxa" w:w="95"/>
              <w:left w:type="dxa" w:w="135"/>
              <w:bottom w:type="dxa" w:w="95"/>
              <w:right w:type="dxa" w:w="135"/>
            </w:tcMar>
          </w:tcPr>
          <w:p>
            <w:r>
              <w:rPr>
                <w:sz w:val="20"/>
                <w:szCs w:val="20"/>
              </w:rPr>
              <w:t xml:space="preserve">Do coders have corporate accounts?</w:t>
            </w:r>
          </w:p>
        </w:tc>
        <w:tc>
          <w:tcPr>
            <w:tcW w:type="dxa" w:w="1250"/>
            <w:tcMar>
              <w:top w:type="dxa" w:w="95"/>
              <w:left w:type="dxa" w:w="135"/>
              <w:bottom w:type="dxa" w:w="95"/>
              <w:right w:type="dxa" w:w="135"/>
            </w:tcMar>
          </w:tcPr>
          <w:p>
            <w:r>
              <w:rPr>
                <w:b/>
                <w:bCs/>
                <w:sz w:val="20"/>
                <w:szCs w:val="20"/>
              </w:rPr>
              <w:t xml:space="preserve">Yes</w:t>
            </w:r>
          </w:p>
        </w:tc>
        <w:tc>
          <w:tcPr>
            <w:tcW w:type="dxa" w:w="4410"/>
            <w:tcMar>
              <w:top w:type="dxa" w:w="95"/>
              <w:left w:type="dxa" w:w="135"/>
              <w:bottom w:type="dxa" w:w="95"/>
              <w:right w:type="dxa" w:w="135"/>
            </w:tcMar>
          </w:tcPr>
          <w:p>
            <w:r>
              <w:rPr>
                <w:sz w:val="20"/>
                <w:szCs w:val="20"/>
              </w:rPr>
              <w:t xml:space="preserve">Single sign-on against the corporate directory is viable and is the recommended mechanism.</w:t>
            </w:r>
          </w:p>
        </w:tc>
      </w:tr>
      <w:tr>
        <w:tc>
          <w:tcPr>
            <w:tcW w:type="dxa" w:w="3700"/>
            <w:tcMar>
              <w:top w:type="dxa" w:w="95"/>
              <w:left w:type="dxa" w:w="135"/>
              <w:bottom w:type="dxa" w:w="95"/>
              <w:right w:type="dxa" w:w="135"/>
            </w:tcMar>
          </w:tcPr>
          <w:p>
            <w:r>
              <w:rPr>
                <w:sz w:val="20"/>
                <w:szCs w:val="20"/>
              </w:rPr>
              <w:t xml:space="preserve">Are auditors a separate population from coders?</w:t>
            </w:r>
          </w:p>
        </w:tc>
        <w:tc>
          <w:tcPr>
            <w:tcW w:type="dxa" w:w="1250"/>
            <w:tcMar>
              <w:top w:type="dxa" w:w="95"/>
              <w:left w:type="dxa" w:w="135"/>
              <w:bottom w:type="dxa" w:w="95"/>
              <w:right w:type="dxa" w:w="135"/>
            </w:tcMar>
          </w:tcPr>
          <w:p>
            <w:r>
              <w:rPr>
                <w:b/>
                <w:bCs/>
                <w:sz w:val="20"/>
                <w:szCs w:val="20"/>
              </w:rPr>
              <w:t xml:space="preserve">Yes</w:t>
            </w:r>
          </w:p>
        </w:tc>
        <w:tc>
          <w:tcPr>
            <w:tcW w:type="dxa" w:w="4410"/>
            <w:tcMar>
              <w:top w:type="dxa" w:w="95"/>
              <w:left w:type="dxa" w:w="135"/>
              <w:bottom w:type="dxa" w:w="95"/>
              <w:right w:type="dxa" w:w="135"/>
            </w:tcMar>
          </w:tcPr>
          <w:p>
            <w:r>
              <w:rPr>
                <w:sz w:val="20"/>
                <w:szCs w:val="20"/>
              </w:rPr>
              <w:t xml:space="preserve">No person holds both roles, so roles are exclusive and permissions never compose.</w:t>
            </w:r>
          </w:p>
        </w:tc>
      </w:tr>
    </w:tbl>
    <w:p>
      <w:r>
        <w:br w:type="page"/>
      </w:r>
    </w:p>
    <w:p>
      <w:pPr>
        <w:pStyle w:val="Heading1"/>
        <w:spacing w:after="170" w:before="400"/>
      </w:pPr>
      <w:r>
        <w:rPr>
          <w:b/>
          <w:bCs/>
          <w:color w:val="1F3864"/>
          <w:sz w:val="30"/>
          <w:szCs w:val="30"/>
        </w:rPr>
        <w:t xml:space="preserve">1. What the application does today</w:t>
      </w:r>
    </w:p>
    <w:p>
      <w:pPr>
        <w:spacing w:after="130" w:line="285"/>
      </w:pPr>
      <w:r>
        <w:rPr>
          <w:sz w:val="21"/>
          <w:szCs w:val="21"/>
        </w:rPr>
        <w:t xml:space="preserve">Measured against the running system rather than described from intent.</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There is no authentication of any kind</w:t>
            </w:r>
          </w:p>
          <w:p>
            <w:pPr>
              <w:spacing w:after="65" w:line="285"/>
            </w:pPr>
            <w:r>
              <w:rPr>
                <w:sz w:val="21"/>
                <w:szCs w:val="21"/>
              </w:rPr>
              <w:t xml:space="preserve">No login, no session cookie, no token validation on a route, no authentication dependency anywhere in the application. This was verified by searching for every common mechanism.</w:t>
            </w:r>
          </w:p>
          <w:p>
            <w:pPr>
              <w:spacing w:after="65" w:line="285"/>
            </w:pPr>
            <w:r>
              <w:rPr>
                <w:b/>
                <w:bCs/>
                <w:sz w:val="21"/>
                <w:szCs w:val="21"/>
              </w:rPr>
              <w:t xml:space="preserve">Of roughly 200 API operations, about fifteen sit behind a single shared passphrase. The remainder are open to anyone who can reach the service.</w:t>
            </w:r>
          </w:p>
        </w:tc>
      </w:tr>
    </w:tbl>
    <w:p>
      <w:pPr>
        <w:spacing w:after="0" w:before="0" w:line="2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4400"/>
        <w:gridCol w:w="2860"/>
      </w:tblGrid>
      <w:tr>
        <w:trPr>
          <w:tblHeader/>
        </w:trPr>
        <w:tc>
          <w:tcPr>
            <w:tcW w:type="dxa" w:w="2100"/>
            <w:shd w:fill="DCE6F1" w:val="clear"/>
            <w:tcMar>
              <w:top w:type="dxa" w:w="95"/>
              <w:left w:type="dxa" w:w="135"/>
              <w:bottom w:type="dxa" w:w="95"/>
              <w:right w:type="dxa" w:w="135"/>
            </w:tcMar>
          </w:tcPr>
          <w:p>
            <w:r>
              <w:rPr>
                <w:b/>
                <w:bCs/>
                <w:color w:val="1F3864"/>
                <w:sz w:val="20"/>
                <w:szCs w:val="20"/>
              </w:rPr>
              <w:t xml:space="preserve">Actor</w:t>
            </w:r>
          </w:p>
        </w:tc>
        <w:tc>
          <w:tcPr>
            <w:tcW w:type="dxa" w:w="4400"/>
            <w:shd w:fill="DCE6F1" w:val="clear"/>
            <w:tcMar>
              <w:top w:type="dxa" w:w="95"/>
              <w:left w:type="dxa" w:w="135"/>
              <w:bottom w:type="dxa" w:w="95"/>
              <w:right w:type="dxa" w:w="135"/>
            </w:tcMar>
          </w:tcPr>
          <w:p>
            <w:r>
              <w:rPr>
                <w:b/>
                <w:bCs/>
                <w:color w:val="1F3864"/>
                <w:sz w:val="20"/>
                <w:szCs w:val="20"/>
              </w:rPr>
              <w:t xml:space="preserve">What identifies them today</w:t>
            </w:r>
          </w:p>
        </w:tc>
        <w:tc>
          <w:tcPr>
            <w:tcW w:type="dxa" w:w="2860"/>
            <w:shd w:fill="DCE6F1" w:val="clear"/>
            <w:tcMar>
              <w:top w:type="dxa" w:w="95"/>
              <w:left w:type="dxa" w:w="135"/>
              <w:bottom w:type="dxa" w:w="95"/>
              <w:right w:type="dxa" w:w="135"/>
            </w:tcMar>
          </w:tcPr>
          <w:p>
            <w:r>
              <w:rPr>
                <w:b/>
                <w:bCs/>
                <w:color w:val="1F3864"/>
                <w:sz w:val="20"/>
                <w:szCs w:val="20"/>
              </w:rPr>
              <w:t xml:space="preserve">Strength</w:t>
            </w:r>
          </w:p>
        </w:tc>
      </w:tr>
      <w:tr>
        <w:tc>
          <w:tcPr>
            <w:tcW w:type="dxa" w:w="2100"/>
            <w:tcMar>
              <w:top w:type="dxa" w:w="95"/>
              <w:left w:type="dxa" w:w="135"/>
              <w:bottom w:type="dxa" w:w="95"/>
              <w:right w:type="dxa" w:w="135"/>
            </w:tcMar>
          </w:tcPr>
          <w:p>
            <w:r>
              <w:rPr>
                <w:sz w:val="20"/>
                <w:szCs w:val="20"/>
              </w:rPr>
              <w:t xml:space="preserve">Coder</w:t>
            </w:r>
          </w:p>
        </w:tc>
        <w:tc>
          <w:tcPr>
            <w:tcW w:type="dxa" w:w="4400"/>
            <w:tcMar>
              <w:top w:type="dxa" w:w="95"/>
              <w:left w:type="dxa" w:w="135"/>
              <w:bottom w:type="dxa" w:w="95"/>
              <w:right w:type="dxa" w:w="135"/>
            </w:tcMar>
          </w:tcPr>
          <w:p>
            <w:r>
              <w:rPr>
                <w:sz w:val="20"/>
                <w:szCs w:val="20"/>
              </w:rPr>
              <w:t xml:space="preserve">A name typed into browser storage. Nothing verifies it.</w:t>
            </w:r>
          </w:p>
        </w:tc>
        <w:tc>
          <w:tcPr>
            <w:tcW w:type="dxa" w:w="2860"/>
            <w:tcMar>
              <w:top w:type="dxa" w:w="95"/>
              <w:left w:type="dxa" w:w="135"/>
              <w:bottom w:type="dxa" w:w="95"/>
              <w:right w:type="dxa" w:w="135"/>
            </w:tcMar>
          </w:tcPr>
          <w:p>
            <w:r>
              <w:rPr>
                <w:b/>
                <w:bCs/>
                <w:color w:val="B23A33"/>
                <w:sz w:val="20"/>
                <w:szCs w:val="20"/>
              </w:rPr>
              <w:t xml:space="preserve">None</w:t>
            </w:r>
          </w:p>
        </w:tc>
      </w:tr>
      <w:tr>
        <w:tc>
          <w:tcPr>
            <w:tcW w:type="dxa" w:w="2100"/>
            <w:tcMar>
              <w:top w:type="dxa" w:w="95"/>
              <w:left w:type="dxa" w:w="135"/>
              <w:bottom w:type="dxa" w:w="95"/>
              <w:right w:type="dxa" w:w="135"/>
            </w:tcMar>
          </w:tcPr>
          <w:p>
            <w:r>
              <w:rPr>
                <w:sz w:val="20"/>
                <w:szCs w:val="20"/>
              </w:rPr>
              <w:t xml:space="preserve">Practice / audit session</w:t>
            </w:r>
          </w:p>
        </w:tc>
        <w:tc>
          <w:tcPr>
            <w:tcW w:type="dxa" w:w="4400"/>
            <w:tcMar>
              <w:top w:type="dxa" w:w="95"/>
              <w:left w:type="dxa" w:w="135"/>
              <w:bottom w:type="dxa" w:w="95"/>
              <w:right w:type="dxa" w:w="135"/>
            </w:tcMar>
          </w:tcPr>
          <w:p>
            <w:r>
              <w:rPr>
                <w:sz w:val="20"/>
                <w:szCs w:val="20"/>
              </w:rPr>
              <w:t xml:space="preserve">A token in the URL. No expiry column exists.</w:t>
            </w:r>
          </w:p>
        </w:tc>
        <w:tc>
          <w:tcPr>
            <w:tcW w:type="dxa" w:w="2860"/>
            <w:tcMar>
              <w:top w:type="dxa" w:w="95"/>
              <w:left w:type="dxa" w:w="135"/>
              <w:bottom w:type="dxa" w:w="95"/>
              <w:right w:type="dxa" w:w="135"/>
            </w:tcMar>
          </w:tcPr>
          <w:p>
            <w:r>
              <w:rPr>
                <w:color w:val="B23A33"/>
                <w:sz w:val="20"/>
                <w:szCs w:val="20"/>
              </w:rPr>
              <w:t xml:space="preserve">Possession only</w:t>
            </w:r>
          </w:p>
        </w:tc>
      </w:tr>
      <w:tr>
        <w:tc>
          <w:tcPr>
            <w:tcW w:type="dxa" w:w="2100"/>
            <w:tcMar>
              <w:top w:type="dxa" w:w="95"/>
              <w:left w:type="dxa" w:w="135"/>
              <w:bottom w:type="dxa" w:w="95"/>
              <w:right w:type="dxa" w:w="135"/>
            </w:tcMar>
          </w:tcPr>
          <w:p>
            <w:r>
              <w:rPr>
                <w:sz w:val="20"/>
                <w:szCs w:val="20"/>
              </w:rPr>
              <w:t xml:space="preserve">Assessment sitting</w:t>
            </w:r>
          </w:p>
        </w:tc>
        <w:tc>
          <w:tcPr>
            <w:tcW w:type="dxa" w:w="4400"/>
            <w:tcMar>
              <w:top w:type="dxa" w:w="95"/>
              <w:left w:type="dxa" w:w="135"/>
              <w:bottom w:type="dxa" w:w="95"/>
              <w:right w:type="dxa" w:w="135"/>
            </w:tcMar>
          </w:tcPr>
          <w:p>
            <w:r>
              <w:rPr>
                <w:sz w:val="20"/>
                <w:szCs w:val="20"/>
              </w:rPr>
              <w:t xml:space="preserve">A token in the URL, expiring after eight hours.</w:t>
            </w:r>
          </w:p>
        </w:tc>
        <w:tc>
          <w:tcPr>
            <w:tcW w:type="dxa" w:w="2860"/>
            <w:tcMar>
              <w:top w:type="dxa" w:w="95"/>
              <w:left w:type="dxa" w:w="135"/>
              <w:bottom w:type="dxa" w:w="95"/>
              <w:right w:type="dxa" w:w="135"/>
            </w:tcMar>
          </w:tcPr>
          <w:p>
            <w:r>
              <w:rPr>
                <w:color w:val="B23A33"/>
                <w:sz w:val="20"/>
                <w:szCs w:val="20"/>
              </w:rPr>
              <w:t xml:space="preserve">Possession only</w:t>
            </w:r>
          </w:p>
        </w:tc>
      </w:tr>
      <w:tr>
        <w:tc>
          <w:tcPr>
            <w:tcW w:type="dxa" w:w="2100"/>
            <w:tcMar>
              <w:top w:type="dxa" w:w="95"/>
              <w:left w:type="dxa" w:w="135"/>
              <w:bottom w:type="dxa" w:w="95"/>
              <w:right w:type="dxa" w:w="135"/>
            </w:tcMar>
          </w:tcPr>
          <w:p>
            <w:r>
              <w:rPr>
                <w:sz w:val="20"/>
                <w:szCs w:val="20"/>
              </w:rPr>
              <w:t xml:space="preserve">Trainer</w:t>
            </w:r>
          </w:p>
        </w:tc>
        <w:tc>
          <w:tcPr>
            <w:tcW w:type="dxa" w:w="4400"/>
            <w:tcMar>
              <w:top w:type="dxa" w:w="95"/>
              <w:left w:type="dxa" w:w="135"/>
              <w:bottom w:type="dxa" w:w="95"/>
              <w:right w:type="dxa" w:w="135"/>
            </w:tcMar>
          </w:tcPr>
          <w:p>
            <w:r>
              <w:rPr>
                <w:sz w:val="20"/>
                <w:szCs w:val="20"/>
              </w:rPr>
              <w:t xml:space="preserve">Knowledge of the URL. Nothing else.</w:t>
            </w:r>
          </w:p>
        </w:tc>
        <w:tc>
          <w:tcPr>
            <w:tcW w:type="dxa" w:w="2860"/>
            <w:tcMar>
              <w:top w:type="dxa" w:w="95"/>
              <w:left w:type="dxa" w:w="135"/>
              <w:bottom w:type="dxa" w:w="95"/>
              <w:right w:type="dxa" w:w="135"/>
            </w:tcMar>
          </w:tcPr>
          <w:p>
            <w:r>
              <w:rPr>
                <w:b/>
                <w:bCs/>
                <w:color w:val="B23A33"/>
                <w:sz w:val="20"/>
                <w:szCs w:val="20"/>
              </w:rPr>
              <w:t xml:space="preserve">None</w:t>
            </w:r>
          </w:p>
        </w:tc>
      </w:tr>
      <w:tr>
        <w:tc>
          <w:tcPr>
            <w:tcW w:type="dxa" w:w="2100"/>
            <w:tcMar>
              <w:top w:type="dxa" w:w="95"/>
              <w:left w:type="dxa" w:w="135"/>
              <w:bottom w:type="dxa" w:w="95"/>
              <w:right w:type="dxa" w:w="135"/>
            </w:tcMar>
          </w:tcPr>
          <w:p>
            <w:r>
              <w:rPr>
                <w:sz w:val="20"/>
                <w:szCs w:val="20"/>
              </w:rPr>
              <w:t xml:space="preserve">Administrator</w:t>
            </w:r>
          </w:p>
        </w:tc>
        <w:tc>
          <w:tcPr>
            <w:tcW w:type="dxa" w:w="4400"/>
            <w:tcMar>
              <w:top w:type="dxa" w:w="95"/>
              <w:left w:type="dxa" w:w="135"/>
              <w:bottom w:type="dxa" w:w="95"/>
              <w:right w:type="dxa" w:w="135"/>
            </w:tcMar>
          </w:tcPr>
          <w:p>
            <w:r>
              <w:rPr>
                <w:sz w:val="20"/>
                <w:szCs w:val="20"/>
              </w:rPr>
              <w:t xml:space="preserve">One shared passphrase, held by everyone who needs it.</w:t>
            </w:r>
          </w:p>
        </w:tc>
        <w:tc>
          <w:tcPr>
            <w:tcW w:type="dxa" w:w="2860"/>
            <w:tcMar>
              <w:top w:type="dxa" w:w="95"/>
              <w:left w:type="dxa" w:w="135"/>
              <w:bottom w:type="dxa" w:w="95"/>
              <w:right w:type="dxa" w:w="135"/>
            </w:tcMar>
          </w:tcPr>
          <w:p>
            <w:r>
              <w:rPr>
                <w:sz w:val="20"/>
                <w:szCs w:val="20"/>
              </w:rPr>
              <w:t xml:space="preserve">Shared secret</w:t>
            </w:r>
          </w:p>
        </w:tc>
      </w:tr>
    </w:tbl>
    <w:p>
      <w:pPr>
        <w:pStyle w:val="Heading2"/>
        <w:spacing w:after="130" w:before="300"/>
      </w:pPr>
      <w:r>
        <w:rPr>
          <w:b/>
          <w:bCs/>
          <w:color w:val="1F3864"/>
          <w:sz w:val="24"/>
          <w:szCs w:val="24"/>
        </w:rPr>
        <w:t xml:space="preserve">1.1 What this means in practice</w:t>
      </w:r>
    </w:p>
    <w:p>
      <w:pPr>
        <w:pStyle w:val="ListParagraph"/>
        <w:numPr>
          <w:ilvl w:val="0"/>
          <w:numId w:val="2"/>
        </w:numPr>
        <w:spacing w:after="85" w:line="285"/>
      </w:pPr>
      <w:r>
        <w:rPr>
          <w:b/>
          <w:bCs/>
          <w:sz w:val="21"/>
          <w:szCs w:val="21"/>
        </w:rPr>
        <w:t xml:space="preserve">Anyone who reaches a trainer URL can read every answer key.</w:t>
      </w:r>
      <w:r>
        <w:rPr>
          <w:sz w:val="21"/>
          <w:szCs w:val="21"/>
        </w:rPr>
        <w:t xml:space="preserve"> In the auditor module they can read the planted errors, which does not merely leak answers — it voids the measurement the module exists to produce.</w:t>
      </w:r>
    </w:p>
    <w:p>
      <w:pPr>
        <w:pStyle w:val="ListParagraph"/>
        <w:numPr>
          <w:ilvl w:val="0"/>
          <w:numId w:val="2"/>
        </w:numPr>
        <w:spacing w:after="85" w:line="285"/>
      </w:pPr>
      <w:r>
        <w:rPr>
          <w:b/>
          <w:bCs/>
          <w:sz w:val="21"/>
          <w:szCs w:val="21"/>
        </w:rPr>
        <w:t xml:space="preserve">A token proves possession, not identity.</w:t>
      </w:r>
      <w:r>
        <w:rPr>
          <w:sz w:val="21"/>
          <w:szCs w:val="21"/>
        </w:rPr>
        <w:t xml:space="preserve"> An assessment link can be forwarded and sat by somebody else, and nothing in the application can detect it. Given the answer to question one above, that is a falsified record.</w:t>
      </w:r>
    </w:p>
    <w:p>
      <w:pPr>
        <w:pStyle w:val="ListParagraph"/>
        <w:numPr>
          <w:ilvl w:val="0"/>
          <w:numId w:val="2"/>
        </w:numPr>
        <w:spacing w:after="85" w:line="285"/>
      </w:pPr>
      <w:r>
        <w:rPr>
          <w:sz w:val="21"/>
          <w:szCs w:val="21"/>
        </w:rPr>
        <w:t xml:space="preserve">Every graded result attributes to a self-declared name and employee id. Two people can claim the same one.</w:t>
      </w:r>
    </w:p>
    <w:p>
      <w:pPr>
        <w:pStyle w:val="ListParagraph"/>
        <w:numPr>
          <w:ilvl w:val="0"/>
          <w:numId w:val="2"/>
        </w:numPr>
        <w:spacing w:after="85" w:line="285"/>
      </w:pPr>
      <w:r>
        <w:rPr>
          <w:sz w:val="21"/>
          <w:szCs w:val="21"/>
        </w:rPr>
        <w:t xml:space="preserve">Tokens travel in the URL, so they enter browser history and leak in any screenshot.</w:t>
      </w:r>
    </w:p>
    <w:p>
      <w:pPr>
        <w:pStyle w:val="Heading2"/>
        <w:spacing w:after="130" w:before="300"/>
      </w:pPr>
      <w:r>
        <w:rPr>
          <w:b/>
          <w:bCs/>
          <w:color w:val="1F3864"/>
          <w:sz w:val="24"/>
          <w:szCs w:val="24"/>
        </w:rPr>
        <w:t xml:space="preserve">1.2 One control that does work</w:t>
      </w:r>
    </w:p>
    <w:p>
      <w:pPr>
        <w:spacing w:after="130" w:line="285"/>
      </w:pPr>
      <w:r>
        <w:rPr>
          <w:sz w:val="21"/>
          <w:szCs w:val="21"/>
        </w:rPr>
        <w:t xml:space="preserve">Retiring a chart genuinely revokes access to it: both the chart record and its page images return 404 afterwards, so a saved link stops working. Chart page images are also served as pre-signed URLs that expire after one hour.</w:t>
      </w:r>
    </w:p>
    <w:p>
      <w:r>
        <w:br w:type="page"/>
      </w:r>
    </w:p>
    <w:p>
      <w:pPr>
        <w:pStyle w:val="Heading1"/>
        <w:spacing w:after="170" w:before="400"/>
      </w:pPr>
      <w:r>
        <w:rPr>
          <w:b/>
          <w:bCs/>
          <w:color w:val="1F3864"/>
          <w:sz w:val="30"/>
          <w:szCs w:val="30"/>
        </w:rPr>
        <w:t xml:space="preserve">2. What is worth protecting</w:t>
      </w:r>
    </w:p>
    <w:p>
      <w:pPr>
        <w:spacing w:after="130" w:line="285"/>
      </w:pPr>
      <w:r>
        <w:rPr>
          <w:sz w:val="21"/>
          <w:szCs w:val="21"/>
        </w:rPr>
        <w:t xml:space="preserve">Ranked by what is lost if it leaks, rather than by convention. This ranking drives the sequence in section 6.</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00"/>
        <w:gridCol w:w="2300"/>
        <w:gridCol w:w="4600"/>
        <w:gridCol w:w="1860"/>
      </w:tblGrid>
      <w:tr>
        <w:trPr>
          <w:tblHeader/>
        </w:trPr>
        <w:tc>
          <w:tcPr>
            <w:tcW w:type="dxa" w:w="600"/>
            <w:shd w:fill="DCE6F1" w:val="clear"/>
            <w:tcMar>
              <w:top w:type="dxa" w:w="95"/>
              <w:left w:type="dxa" w:w="135"/>
              <w:bottom w:type="dxa" w:w="95"/>
              <w:right w:type="dxa" w:w="135"/>
            </w:tcMar>
          </w:tcPr>
          <w:p>
            <w:r>
              <w:rPr>
                <w:b/>
                <w:bCs/>
                <w:color w:val="1F3864"/>
                <w:sz w:val="20"/>
                <w:szCs w:val="20"/>
              </w:rPr>
              <w:t xml:space="preserve">#</w:t>
            </w:r>
          </w:p>
        </w:tc>
        <w:tc>
          <w:tcPr>
            <w:tcW w:type="dxa" w:w="2300"/>
            <w:shd w:fill="DCE6F1" w:val="clear"/>
            <w:tcMar>
              <w:top w:type="dxa" w:w="95"/>
              <w:left w:type="dxa" w:w="135"/>
              <w:bottom w:type="dxa" w:w="95"/>
              <w:right w:type="dxa" w:w="135"/>
            </w:tcMar>
          </w:tcPr>
          <w:p>
            <w:r>
              <w:rPr>
                <w:b/>
                <w:bCs/>
                <w:color w:val="1F3864"/>
                <w:sz w:val="20"/>
                <w:szCs w:val="20"/>
              </w:rPr>
              <w:t xml:space="preserve">Asset</w:t>
            </w:r>
          </w:p>
        </w:tc>
        <w:tc>
          <w:tcPr>
            <w:tcW w:type="dxa" w:w="4600"/>
            <w:shd w:fill="DCE6F1" w:val="clear"/>
            <w:tcMar>
              <w:top w:type="dxa" w:w="95"/>
              <w:left w:type="dxa" w:w="135"/>
              <w:bottom w:type="dxa" w:w="95"/>
              <w:right w:type="dxa" w:w="135"/>
            </w:tcMar>
          </w:tcPr>
          <w:p>
            <w:r>
              <w:rPr>
                <w:b/>
                <w:bCs/>
                <w:color w:val="1F3864"/>
                <w:sz w:val="20"/>
                <w:szCs w:val="20"/>
              </w:rPr>
              <w:t xml:space="preserve">Consequence of exposure</w:t>
            </w:r>
          </w:p>
        </w:tc>
        <w:tc>
          <w:tcPr>
            <w:tcW w:type="dxa" w:w="1860"/>
            <w:shd w:fill="DCE6F1" w:val="clear"/>
            <w:tcMar>
              <w:top w:type="dxa" w:w="95"/>
              <w:left w:type="dxa" w:w="135"/>
              <w:bottom w:type="dxa" w:w="95"/>
              <w:right w:type="dxa" w:w="135"/>
            </w:tcMar>
          </w:tcPr>
          <w:p>
            <w:r>
              <w:rPr>
                <w:b/>
                <w:bCs/>
                <w:color w:val="1F3864"/>
                <w:sz w:val="20"/>
                <w:szCs w:val="20"/>
              </w:rPr>
              <w:t xml:space="preserve">Protected today</w:t>
            </w:r>
          </w:p>
        </w:tc>
      </w:tr>
      <w:tr>
        <w:tc>
          <w:tcPr>
            <w:tcW w:type="dxa" w:w="600"/>
            <w:tcMar>
              <w:top w:type="dxa" w:w="95"/>
              <w:left w:type="dxa" w:w="135"/>
              <w:bottom w:type="dxa" w:w="95"/>
              <w:right w:type="dxa" w:w="135"/>
            </w:tcMar>
          </w:tcPr>
          <w:p>
            <w:r>
              <w:rPr>
                <w:sz w:val="20"/>
                <w:szCs w:val="20"/>
              </w:rPr>
              <w:t xml:space="preserve">1</w:t>
            </w:r>
          </w:p>
        </w:tc>
        <w:tc>
          <w:tcPr>
            <w:tcW w:type="dxa" w:w="2300"/>
            <w:tcMar>
              <w:top w:type="dxa" w:w="95"/>
              <w:left w:type="dxa" w:w="135"/>
              <w:bottom w:type="dxa" w:w="95"/>
              <w:right w:type="dxa" w:w="135"/>
            </w:tcMar>
          </w:tcPr>
          <w:p>
            <w:r>
              <w:rPr>
                <w:b/>
                <w:bCs/>
                <w:sz w:val="20"/>
                <w:szCs w:val="20"/>
              </w:rPr>
              <w:t xml:space="preserve">Answer keys and planted errors</w:t>
            </w:r>
          </w:p>
        </w:tc>
        <w:tc>
          <w:tcPr>
            <w:tcW w:type="dxa" w:w="4600"/>
            <w:tcMar>
              <w:top w:type="dxa" w:w="95"/>
              <w:left w:type="dxa" w:w="135"/>
              <w:bottom w:type="dxa" w:w="95"/>
              <w:right w:type="dxa" w:w="135"/>
            </w:tcMar>
          </w:tcPr>
          <w:p>
            <w:r>
              <w:rPr>
                <w:sz w:val="20"/>
                <w:szCs w:val="20"/>
              </w:rPr>
              <w:t xml:space="preserve">Scores across every module become meaningless. In the auditor module the planted-error list destroys the restraint measurement the module was built for.</w:t>
            </w:r>
          </w:p>
        </w:tc>
        <w:tc>
          <w:tcPr>
            <w:tcW w:type="dxa" w:w="1860"/>
            <w:tcMar>
              <w:top w:type="dxa" w:w="95"/>
              <w:left w:type="dxa" w:w="135"/>
              <w:bottom w:type="dxa" w:w="95"/>
              <w:right w:type="dxa" w:w="135"/>
            </w:tcMar>
          </w:tcPr>
          <w:p>
            <w:r>
              <w:rPr>
                <w:b/>
                <w:bCs/>
                <w:color w:val="B23A33"/>
                <w:sz w:val="20"/>
                <w:szCs w:val="20"/>
              </w:rPr>
              <w:t xml:space="preserve">No</w:t>
            </w:r>
          </w:p>
        </w:tc>
      </w:tr>
      <w:tr>
        <w:tc>
          <w:tcPr>
            <w:tcW w:type="dxa" w:w="600"/>
            <w:tcMar>
              <w:top w:type="dxa" w:w="95"/>
              <w:left w:type="dxa" w:w="135"/>
              <w:bottom w:type="dxa" w:w="95"/>
              <w:right w:type="dxa" w:w="135"/>
            </w:tcMar>
          </w:tcPr>
          <w:p>
            <w:r>
              <w:rPr>
                <w:sz w:val="20"/>
                <w:szCs w:val="20"/>
              </w:rPr>
              <w:t xml:space="preserve">2</w:t>
            </w:r>
          </w:p>
        </w:tc>
        <w:tc>
          <w:tcPr>
            <w:tcW w:type="dxa" w:w="2300"/>
            <w:tcMar>
              <w:top w:type="dxa" w:w="95"/>
              <w:left w:type="dxa" w:w="135"/>
              <w:bottom w:type="dxa" w:w="95"/>
              <w:right w:type="dxa" w:w="135"/>
            </w:tcMar>
          </w:tcPr>
          <w:p>
            <w:r>
              <w:rPr>
                <w:b/>
                <w:bCs/>
                <w:sz w:val="20"/>
                <w:szCs w:val="20"/>
              </w:rPr>
              <w:t xml:space="preserve">The assessment question bank</w:t>
            </w:r>
          </w:p>
        </w:tc>
        <w:tc>
          <w:tcPr>
            <w:tcW w:type="dxa" w:w="4600"/>
            <w:tcMar>
              <w:top w:type="dxa" w:w="95"/>
              <w:left w:type="dxa" w:w="135"/>
              <w:bottom w:type="dxa" w:w="95"/>
              <w:right w:type="dxa" w:w="135"/>
            </w:tcMar>
          </w:tcPr>
          <w:p>
            <w:r>
              <w:rPr>
                <w:sz w:val="20"/>
                <w:szCs w:val="20"/>
              </w:rPr>
              <w:t xml:space="preserve">Questions are reused across cohorts, so a single leak contaminates every future sitting.</w:t>
            </w:r>
          </w:p>
        </w:tc>
        <w:tc>
          <w:tcPr>
            <w:tcW w:type="dxa" w:w="1860"/>
            <w:tcMar>
              <w:top w:type="dxa" w:w="95"/>
              <w:left w:type="dxa" w:w="135"/>
              <w:bottom w:type="dxa" w:w="95"/>
              <w:right w:type="dxa" w:w="135"/>
            </w:tcMar>
          </w:tcPr>
          <w:p>
            <w:r>
              <w:rPr>
                <w:sz w:val="20"/>
                <w:szCs w:val="20"/>
              </w:rPr>
              <w:t xml:space="preserve">Passphrase</w:t>
            </w:r>
          </w:p>
        </w:tc>
      </w:tr>
      <w:tr>
        <w:tc>
          <w:tcPr>
            <w:tcW w:type="dxa" w:w="600"/>
            <w:tcMar>
              <w:top w:type="dxa" w:w="95"/>
              <w:left w:type="dxa" w:w="135"/>
              <w:bottom w:type="dxa" w:w="95"/>
              <w:right w:type="dxa" w:w="135"/>
            </w:tcMar>
          </w:tcPr>
          <w:p>
            <w:r>
              <w:rPr>
                <w:sz w:val="20"/>
                <w:szCs w:val="20"/>
              </w:rPr>
              <w:t xml:space="preserve">3</w:t>
            </w:r>
          </w:p>
        </w:tc>
        <w:tc>
          <w:tcPr>
            <w:tcW w:type="dxa" w:w="2300"/>
            <w:tcMar>
              <w:top w:type="dxa" w:w="95"/>
              <w:left w:type="dxa" w:w="135"/>
              <w:bottom w:type="dxa" w:w="95"/>
              <w:right w:type="dxa" w:w="135"/>
            </w:tcMar>
          </w:tcPr>
          <w:p>
            <w:r>
              <w:rPr>
                <w:sz w:val="20"/>
                <w:szCs w:val="20"/>
              </w:rPr>
              <w:t xml:space="preserve">Individual results and analytics</w:t>
            </w:r>
          </w:p>
        </w:tc>
        <w:tc>
          <w:tcPr>
            <w:tcW w:type="dxa" w:w="4600"/>
            <w:tcMar>
              <w:top w:type="dxa" w:w="95"/>
              <w:left w:type="dxa" w:w="135"/>
              <w:bottom w:type="dxa" w:w="95"/>
              <w:right w:type="dxa" w:w="135"/>
            </w:tcMar>
          </w:tcPr>
          <w:p>
            <w:r>
              <w:rPr>
                <w:sz w:val="20"/>
                <w:szCs w:val="20"/>
              </w:rPr>
              <w:t xml:space="preserve">One coder sees another's performance. Damaging to trust, not to integrity.</w:t>
            </w:r>
          </w:p>
        </w:tc>
        <w:tc>
          <w:tcPr>
            <w:tcW w:type="dxa" w:w="1860"/>
            <w:tcMar>
              <w:top w:type="dxa" w:w="95"/>
              <w:left w:type="dxa" w:w="135"/>
              <w:bottom w:type="dxa" w:w="95"/>
              <w:right w:type="dxa" w:w="135"/>
            </w:tcMar>
          </w:tcPr>
          <w:p>
            <w:r>
              <w:rPr>
                <w:color w:val="B23A33"/>
                <w:sz w:val="20"/>
                <w:szCs w:val="20"/>
              </w:rPr>
              <w:t xml:space="preserve">No</w:t>
            </w:r>
          </w:p>
        </w:tc>
      </w:tr>
      <w:tr>
        <w:tc>
          <w:tcPr>
            <w:tcW w:type="dxa" w:w="600"/>
            <w:tcMar>
              <w:top w:type="dxa" w:w="95"/>
              <w:left w:type="dxa" w:w="135"/>
              <w:bottom w:type="dxa" w:w="95"/>
              <w:right w:type="dxa" w:w="135"/>
            </w:tcMar>
          </w:tcPr>
          <w:p>
            <w:r>
              <w:rPr>
                <w:sz w:val="20"/>
                <w:szCs w:val="20"/>
              </w:rPr>
              <w:t xml:space="preserve">4</w:t>
            </w:r>
          </w:p>
        </w:tc>
        <w:tc>
          <w:tcPr>
            <w:tcW w:type="dxa" w:w="2300"/>
            <w:tcMar>
              <w:top w:type="dxa" w:w="95"/>
              <w:left w:type="dxa" w:w="135"/>
              <w:bottom w:type="dxa" w:w="95"/>
              <w:right w:type="dxa" w:w="135"/>
            </w:tcMar>
          </w:tcPr>
          <w:p>
            <w:r>
              <w:rPr>
                <w:sz w:val="20"/>
                <w:szCs w:val="20"/>
              </w:rPr>
              <w:t xml:space="preserve">The chart library</w:t>
            </w:r>
          </w:p>
        </w:tc>
        <w:tc>
          <w:tcPr>
            <w:tcW w:type="dxa" w:w="4600"/>
            <w:tcMar>
              <w:top w:type="dxa" w:w="95"/>
              <w:left w:type="dxa" w:w="135"/>
              <w:bottom w:type="dxa" w:w="95"/>
              <w:right w:type="dxa" w:w="135"/>
            </w:tcMar>
          </w:tcPr>
          <w:p>
            <w:r>
              <w:rPr>
                <w:sz w:val="20"/>
                <w:szCs w:val="20"/>
              </w:rPr>
              <w:t xml:space="preserve">Charts are de-identified, and browsing them is a study activity. Lowest of the four.</w:t>
            </w:r>
          </w:p>
        </w:tc>
        <w:tc>
          <w:tcPr>
            <w:tcW w:type="dxa" w:w="1860"/>
            <w:tcMar>
              <w:top w:type="dxa" w:w="95"/>
              <w:left w:type="dxa" w:w="135"/>
              <w:bottom w:type="dxa" w:w="95"/>
              <w:right w:type="dxa" w:w="135"/>
            </w:tcMar>
          </w:tcPr>
          <w:p>
            <w:r>
              <w:rPr>
                <w:sz w:val="20"/>
                <w:szCs w:val="20"/>
              </w:rPr>
              <w:t xml:space="preserve">Partly</w:t>
            </w:r>
          </w:p>
        </w:tc>
      </w:tr>
    </w:tbl>
    <w:p>
      <w:r>
        <w:br w:type="page"/>
      </w:r>
    </w:p>
    <w:p>
      <w:pPr>
        <w:pStyle w:val="Heading1"/>
        <w:spacing w:after="170" w:before="400"/>
      </w:pPr>
      <w:r>
        <w:rPr>
          <w:b/>
          <w:bCs/>
          <w:color w:val="1F3864"/>
          <w:sz w:val="30"/>
          <w:szCs w:val="30"/>
        </w:rPr>
        <w:t xml:space="preserve">3. Roles</w:t>
      </w:r>
    </w:p>
    <w:p>
      <w:pPr>
        <w:spacing w:after="130" w:line="285"/>
      </w:pPr>
      <w:r>
        <w:rPr>
          <w:sz w:val="21"/>
          <w:szCs w:val="21"/>
        </w:rPr>
        <w:t xml:space="preserve">Four roles. Each is stated as a single rule, because a permission model that cannot be summarised in one line cannot be reviewed.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3100"/>
        <w:gridCol w:w="4560"/>
      </w:tblGrid>
      <w:tr>
        <w:trPr>
          <w:tblHeader/>
        </w:trPr>
        <w:tc>
          <w:tcPr>
            <w:tcW w:type="dxa" w:w="1700"/>
            <w:shd w:fill="DCE6F1" w:val="clear"/>
            <w:tcMar>
              <w:top w:type="dxa" w:w="95"/>
              <w:left w:type="dxa" w:w="135"/>
              <w:bottom w:type="dxa" w:w="95"/>
              <w:right w:type="dxa" w:w="135"/>
            </w:tcMar>
          </w:tcPr>
          <w:p>
            <w:r>
              <w:rPr>
                <w:b/>
                <w:bCs/>
                <w:color w:val="1F3864"/>
                <w:sz w:val="20"/>
                <w:szCs w:val="20"/>
              </w:rPr>
              <w:t xml:space="preserve">Role</w:t>
            </w:r>
          </w:p>
        </w:tc>
        <w:tc>
          <w:tcPr>
            <w:tcW w:type="dxa" w:w="3100"/>
            <w:shd w:fill="DCE6F1" w:val="clear"/>
            <w:tcMar>
              <w:top w:type="dxa" w:w="95"/>
              <w:left w:type="dxa" w:w="135"/>
              <w:bottom w:type="dxa" w:w="95"/>
              <w:right w:type="dxa" w:w="135"/>
            </w:tcMar>
          </w:tcPr>
          <w:p>
            <w:r>
              <w:rPr>
                <w:b/>
                <w:bCs/>
                <w:color w:val="1F3864"/>
                <w:sz w:val="20"/>
                <w:szCs w:val="20"/>
              </w:rPr>
              <w:t xml:space="preserve">Rule</w:t>
            </w:r>
          </w:p>
        </w:tc>
        <w:tc>
          <w:tcPr>
            <w:tcW w:type="dxa" w:w="4560"/>
            <w:shd w:fill="DCE6F1" w:val="clear"/>
            <w:tcMar>
              <w:top w:type="dxa" w:w="95"/>
              <w:left w:type="dxa" w:w="135"/>
              <w:bottom w:type="dxa" w:w="95"/>
              <w:right w:type="dxa" w:w="135"/>
            </w:tcMar>
          </w:tcPr>
          <w:p>
            <w:r>
              <w:rPr>
                <w:b/>
                <w:bCs/>
                <w:color w:val="1F3864"/>
                <w:sz w:val="20"/>
                <w:szCs w:val="20"/>
              </w:rPr>
              <w:t xml:space="preserve">Notes</w:t>
            </w:r>
          </w:p>
        </w:tc>
      </w:tr>
      <w:tr>
        <w:tc>
          <w:tcPr>
            <w:tcW w:type="dxa" w:w="1700"/>
            <w:tcMar>
              <w:top w:type="dxa" w:w="95"/>
              <w:left w:type="dxa" w:w="135"/>
              <w:bottom w:type="dxa" w:w="95"/>
              <w:right w:type="dxa" w:w="135"/>
            </w:tcMar>
          </w:tcPr>
          <w:p>
            <w:r>
              <w:rPr>
                <w:b/>
                <w:bCs/>
                <w:sz w:val="20"/>
                <w:szCs w:val="20"/>
              </w:rPr>
              <w:t xml:space="preserve">Participant</w:t>
            </w:r>
          </w:p>
        </w:tc>
        <w:tc>
          <w:tcPr>
            <w:tcW w:type="dxa" w:w="3100"/>
            <w:tcMar>
              <w:top w:type="dxa" w:w="95"/>
              <w:left w:type="dxa" w:w="135"/>
              <w:bottom w:type="dxa" w:w="95"/>
              <w:right w:type="dxa" w:w="135"/>
            </w:tcMar>
          </w:tcPr>
          <w:p>
            <w:r>
              <w:rPr>
                <w:sz w:val="20"/>
                <w:szCs w:val="20"/>
              </w:rPr>
              <w:t xml:space="preserve">Sees only the sessions assigned to them.</w:t>
            </w:r>
          </w:p>
        </w:tc>
        <w:tc>
          <w:tcPr>
            <w:tcW w:type="dxa" w:w="4560"/>
            <w:tcMar>
              <w:top w:type="dxa" w:w="95"/>
              <w:left w:type="dxa" w:w="135"/>
              <w:bottom w:type="dxa" w:w="95"/>
              <w:right w:type="dxa" w:w="135"/>
            </w:tcMar>
          </w:tcPr>
          <w:p>
            <w:r>
              <w:rPr>
                <w:sz w:val="20"/>
                <w:szCs w:val="20"/>
              </w:rPr>
              <w:t xml:space="preserve">Covers coders and auditors alike. Both workflows are the same shape — work is assigned, done, submitted — so which kind of session appears follows from the assignment rather than the role.</w:t>
            </w:r>
          </w:p>
        </w:tc>
      </w:tr>
      <w:tr>
        <w:tc>
          <w:tcPr>
            <w:tcW w:type="dxa" w:w="1700"/>
            <w:tcMar>
              <w:top w:type="dxa" w:w="95"/>
              <w:left w:type="dxa" w:w="135"/>
              <w:bottom w:type="dxa" w:w="95"/>
              <w:right w:type="dxa" w:w="135"/>
            </w:tcMar>
          </w:tcPr>
          <w:p>
            <w:r>
              <w:rPr>
                <w:b/>
                <w:bCs/>
                <w:sz w:val="20"/>
                <w:szCs w:val="20"/>
              </w:rPr>
              <w:t xml:space="preserve">Manager</w:t>
            </w:r>
          </w:p>
        </w:tc>
        <w:tc>
          <w:tcPr>
            <w:tcW w:type="dxa" w:w="3100"/>
            <w:tcMar>
              <w:top w:type="dxa" w:w="95"/>
              <w:left w:type="dxa" w:w="135"/>
              <w:bottom w:type="dxa" w:w="95"/>
              <w:right w:type="dxa" w:w="135"/>
            </w:tcMar>
          </w:tcPr>
          <w:p>
            <w:r>
              <w:rPr>
                <w:sz w:val="20"/>
                <w:szCs w:val="20"/>
              </w:rPr>
              <w:t xml:space="preserve">Read-only analytics for PracticeLab, Auditor and Assessment. No answer keys.</w:t>
            </w:r>
          </w:p>
        </w:tc>
        <w:tc>
          <w:tcPr>
            <w:tcW w:type="dxa" w:w="4560"/>
            <w:tcMar>
              <w:top w:type="dxa" w:w="95"/>
              <w:left w:type="dxa" w:w="135"/>
              <w:bottom w:type="dxa" w:w="95"/>
              <w:right w:type="dxa" w:w="135"/>
            </w:tcMar>
          </w:tcPr>
          <w:p>
            <w:r>
              <w:rPr>
                <w:sz w:val="20"/>
                <w:szCs w:val="20"/>
              </w:rPr>
              <w:t xml:space="preserve">Spans modules but reaches none of their controls. See section 4.</w:t>
            </w:r>
          </w:p>
        </w:tc>
      </w:tr>
      <w:tr>
        <w:tc>
          <w:tcPr>
            <w:tcW w:type="dxa" w:w="1700"/>
            <w:tcMar>
              <w:top w:type="dxa" w:w="95"/>
              <w:left w:type="dxa" w:w="135"/>
              <w:bottom w:type="dxa" w:w="95"/>
              <w:right w:type="dxa" w:w="135"/>
            </w:tcMar>
          </w:tcPr>
          <w:p>
            <w:r>
              <w:rPr>
                <w:b/>
                <w:bCs/>
                <w:sz w:val="20"/>
                <w:szCs w:val="20"/>
              </w:rPr>
              <w:t xml:space="preserve">Trainer</w:t>
            </w:r>
          </w:p>
        </w:tc>
        <w:tc>
          <w:tcPr>
            <w:tcW w:type="dxa" w:w="3100"/>
            <w:tcMar>
              <w:top w:type="dxa" w:w="95"/>
              <w:left w:type="dxa" w:w="135"/>
              <w:bottom w:type="dxa" w:w="95"/>
              <w:right w:type="dxa" w:w="135"/>
            </w:tcMar>
          </w:tcPr>
          <w:p>
            <w:r>
              <w:rPr>
                <w:sz w:val="20"/>
                <w:szCs w:val="20"/>
              </w:rPr>
              <w:t xml:space="preserve">Full operational access.</w:t>
            </w:r>
          </w:p>
        </w:tc>
        <w:tc>
          <w:tcPr>
            <w:tcW w:type="dxa" w:w="4560"/>
            <w:tcMar>
              <w:top w:type="dxa" w:w="95"/>
              <w:left w:type="dxa" w:w="135"/>
              <w:bottom w:type="dxa" w:w="95"/>
              <w:right w:type="dxa" w:w="135"/>
            </w:tcMar>
          </w:tcPr>
          <w:p>
            <w:r>
              <w:rPr>
                <w:sz w:val="20"/>
                <w:szCs w:val="20"/>
              </w:rPr>
              <w:t xml:space="preserve">Charts, answer keys, batches, allocation, grading, assessment generation.</w:t>
            </w:r>
          </w:p>
        </w:tc>
      </w:tr>
      <w:tr>
        <w:tc>
          <w:tcPr>
            <w:tcW w:type="dxa" w:w="1700"/>
            <w:tcMar>
              <w:top w:type="dxa" w:w="95"/>
              <w:left w:type="dxa" w:w="135"/>
              <w:bottom w:type="dxa" w:w="95"/>
              <w:right w:type="dxa" w:w="135"/>
            </w:tcMar>
          </w:tcPr>
          <w:p>
            <w:r>
              <w:rPr>
                <w:b/>
                <w:bCs/>
                <w:sz w:val="20"/>
                <w:szCs w:val="20"/>
              </w:rPr>
              <w:t xml:space="preserve">Administrator</w:t>
            </w:r>
          </w:p>
        </w:tc>
        <w:tc>
          <w:tcPr>
            <w:tcW w:type="dxa" w:w="3100"/>
            <w:tcMar>
              <w:top w:type="dxa" w:w="95"/>
              <w:left w:type="dxa" w:w="135"/>
              <w:bottom w:type="dxa" w:w="95"/>
              <w:right w:type="dxa" w:w="135"/>
            </w:tcMar>
          </w:tcPr>
          <w:p>
            <w:r>
              <w:rPr>
                <w:sz w:val="20"/>
                <w:szCs w:val="20"/>
              </w:rPr>
              <w:t xml:space="preserve">Trainer, plus destructive operations.</w:t>
            </w:r>
          </w:p>
        </w:tc>
        <w:tc>
          <w:tcPr>
            <w:tcW w:type="dxa" w:w="4560"/>
            <w:tcMar>
              <w:top w:type="dxa" w:w="95"/>
              <w:left w:type="dxa" w:w="135"/>
              <w:bottom w:type="dxa" w:w="95"/>
              <w:right w:type="dxa" w:w="135"/>
            </w:tcMar>
          </w:tcPr>
          <w:p>
            <w:r>
              <w:rPr>
                <w:sz w:val="20"/>
                <w:szCs w:val="20"/>
              </w:rPr>
              <w:t xml:space="preserve">Retire and delete, force-close, reopen, question bank edits.</w:t>
            </w:r>
          </w:p>
        </w:tc>
      </w:tr>
    </w:tbl>
    <w:p>
      <w:pPr>
        <w:spacing w:after="0" w:before="0" w:line="20"/>
      </w:pP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Why coders and auditors share one role</w:t>
            </w:r>
          </w:p>
          <w:p>
            <w:pPr>
              <w:spacing w:after="65" w:line="285"/>
            </w:pPr>
            <w:r>
              <w:rPr>
                <w:sz w:val="21"/>
                <w:szCs w:val="21"/>
              </w:rPr>
              <w:t xml:space="preserve">They are separate populations, but the access RULE is identical: see what is assigned to you. Keeping them as one role means a person who moves from coding to auditing needs no permission change — they simply begin receiving different assignments. A separate auditor role would have made that a provisioning task, and provisioning tasks are forgotten.</w:t>
            </w:r>
          </w:p>
          <w:p>
            <w:pPr>
              <w:spacing w:after="65" w:line="285"/>
            </w:pPr>
            <w:r>
              <w:rPr>
                <w:sz w:val="21"/>
                <w:szCs w:val="21"/>
              </w:rPr>
              <w:t xml:space="preserve">The directory may still hold separate groups for the two, for provisioning and reporting. Those groups would not be performing authorisation, and it is worth stating that explicitly so nobody later assumes they are.</w:t>
            </w:r>
          </w:p>
        </w:tc>
      </w:tr>
    </w:tbl>
    <w:p>
      <w:r>
        <w:br w:type="page"/>
      </w:r>
    </w:p>
    <w:p>
      <w:pPr>
        <w:pStyle w:val="Heading1"/>
        <w:spacing w:after="170" w:before="400"/>
      </w:pPr>
      <w:r>
        <w:rPr>
          <w:b/>
          <w:bCs/>
          <w:color w:val="1F3864"/>
          <w:sz w:val="30"/>
          <w:szCs w:val="30"/>
        </w:rPr>
        <w:t xml:space="preserve">4. The manager role in detail</w:t>
      </w:r>
    </w:p>
    <w:p>
      <w:pPr>
        <w:spacing w:after="130" w:line="285"/>
      </w:pPr>
      <w:r>
        <w:rPr>
          <w:sz w:val="21"/>
          <w:szCs w:val="21"/>
        </w:rPr>
        <w:t xml:space="preserve">This role was specified late and is the most easily got wrong, because the obvious rules are subtly unsafe.</w:t>
      </w:r>
    </w:p>
    <w:p>
      <w:pPr>
        <w:pStyle w:val="Heading2"/>
        <w:spacing w:after="130" w:before="300"/>
      </w:pPr>
      <w:r>
        <w:rPr>
          <w:b/>
          <w:bCs/>
          <w:color w:val="1F3864"/>
          <w:sz w:val="24"/>
          <w:szCs w:val="24"/>
        </w:rPr>
        <w:t xml:space="preserve">4.1 It maps cleanly onto the API</w:t>
      </w:r>
    </w:p>
    <w:p>
      <w:pPr>
        <w:spacing w:after="130" w:line="285"/>
      </w:pPr>
      <w:r>
        <w:rPr>
          <w:sz w:val="21"/>
          <w:szCs w:val="21"/>
        </w:rPr>
        <w:t xml:space="preserve">The application exposes </w:t>
      </w:r>
      <w:r>
        <w:rPr>
          <w:b/>
          <w:bCs/>
          <w:sz w:val="21"/>
          <w:szCs w:val="21"/>
        </w:rPr>
        <w:t xml:space="preserve">48</w:t>
      </w:r>
      <w:r>
        <w:rPr>
          <w:sz w:val="21"/>
          <w:szCs w:val="21"/>
        </w:rPr>
        <w:t xml:space="preserve"> analytics endpoints. Every one of them is a </w:t>
      </w:r>
      <w:r>
        <w:rPr>
          <w:rFonts w:ascii="Consolas" w:cs="Consolas" w:eastAsia="Consolas" w:hAnsi="Consolas"/>
          <w:color w:val="7B1FA2"/>
          <w:sz w:val="19"/>
          <w:szCs w:val="19"/>
        </w:rPr>
        <w:t xml:space="preserve">GET</w:t>
      </w:r>
      <w:r>
        <w:rPr>
          <w:sz w:val="21"/>
          <w:szCs w:val="21"/>
        </w:rPr>
        <w:t xml:space="preserve">. None mutates anything, so a read-only role is not fighting the architecture.</w:t>
      </w:r>
    </w:p>
    <w:p>
      <w:pPr>
        <w:pStyle w:val="Heading2"/>
        <w:spacing w:after="130" w:before="300"/>
      </w:pPr>
      <w:r>
        <w:rPr>
          <w:b/>
          <w:bCs/>
          <w:color w:val="1F3864"/>
          <w:sz w:val="24"/>
          <w:szCs w:val="24"/>
        </w:rPr>
        <w:t xml:space="preserve">4.2 But "reports are read-only" is not a safe rule</w:t>
      </w:r>
    </w:p>
    <w:p>
      <w:pPr>
        <w:spacing w:after="130" w:line="285"/>
      </w:pPr>
      <w:r>
        <w:rPr>
          <w:sz w:val="21"/>
          <w:szCs w:val="21"/>
        </w:rPr>
        <w:t xml:space="preserve">Five of the thirty report and export endpoints hand over answers:</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/practicelab/answer-key/export</w:t>
      </w:r>
      <w:r>
        <w:br/>
      </w:r>
      <w:r>
        <w:rPr>
          <w:rFonts w:ascii="Consolas" w:cs="Consolas" w:eastAsia="Consolas" w:hAnsi="Consolas"/>
          <w:sz w:val="18"/>
          <w:szCs w:val="18"/>
        </w:rPr>
        <w:t xml:space="preserve">/auditor/keys/export                &lt;-- the planted errors</w:t>
      </w:r>
      <w:r>
        <w:br/>
      </w:r>
      <w:r>
        <w:rPr>
          <w:rFonts w:ascii="Consolas" w:cs="Consolas" w:eastAsia="Consolas" w:hAnsi="Consolas"/>
          <w:sz w:val="18"/>
          <w:szCs w:val="18"/>
        </w:rPr>
        <w:t xml:space="preserve">/assessment/questions/export</w:t>
      </w:r>
      <w:r>
        <w:br/>
      </w:r>
      <w:r>
        <w:rPr>
          <w:rFonts w:ascii="Consolas" w:cs="Consolas" w:eastAsia="Consolas" w:hAnsi="Consolas"/>
          <w:sz w:val="18"/>
          <w:szCs w:val="18"/>
        </w:rPr>
        <w:t xml:space="preserve">/assessment/questions/export-all</w:t>
      </w:r>
      <w:r>
        <w:br/>
      </w:r>
      <w:r>
        <w:rPr>
          <w:rFonts w:ascii="Consolas" w:cs="Consolas" w:eastAsia="Consolas" w:hAnsi="Consolas"/>
          <w:sz w:val="18"/>
          <w:szCs w:val="18"/>
        </w:rPr>
        <w:t xml:space="preserve">/assessment/{id}/export-answer-key</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A manager is the role with a motive</w:t>
            </w:r>
          </w:p>
          <w:p>
            <w:pPr>
              <w:spacing w:after="65" w:line="285"/>
            </w:pPr>
            <w:r>
              <w:rPr>
                <w:sz w:val="21"/>
                <w:szCs w:val="21"/>
              </w:rPr>
              <w:t xml:space="preserve">The team's numbers are the thing being measured, and the manager is measured on them. This is not a statement about any individual — it is the reason the role should be defined so that the question can never arise.</w:t>
            </w:r>
          </w:p>
          <w:p>
            <w:pPr>
              <w:spacing w:after="65" w:line="285"/>
            </w:pPr>
            <w:r>
              <w:rPr>
                <w:rFonts w:ascii="Consolas" w:cs="Consolas" w:eastAsia="Consolas" w:hAnsi="Consolas"/>
                <w:sz w:val="19"/>
                <w:szCs w:val="19"/>
              </w:rPr>
              <w:t xml:space="preserve">/auditor/keys/export</w:t>
            </w:r>
            <w:r>
              <w:rPr>
                <w:sz w:val="21"/>
                <w:szCs w:val="21"/>
              </w:rPr>
              <w:t xml:space="preserve"> is the sharpest case: it returns the planted errors. A manager holding it could tell their team what to look for, and every audit score afterwards would be worthless.</w:t>
            </w:r>
          </w:p>
        </w:tc>
      </w:tr>
    </w:tbl>
    <w:p>
      <w:pPr>
        <w:pStyle w:val="Heading2"/>
        <w:spacing w:after="130" w:before="300"/>
      </w:pPr>
      <w:r>
        <w:rPr>
          <w:b/>
          <w:bCs/>
          <w:color w:val="1F3864"/>
          <w:sz w:val="24"/>
          <w:szCs w:val="24"/>
        </w:rPr>
        <w:t xml:space="preserve">4.3 The rule</w:t>
      </w:r>
    </w:p>
    <w:p>
      <w:pPr>
        <w:pStyle w:val="ListParagraph"/>
        <w:numPr>
          <w:ilvl w:val="0"/>
          <w:numId w:val="2"/>
        </w:numPr>
        <w:spacing w:after="85" w:line="285"/>
      </w:pPr>
      <w:r>
        <w:rPr>
          <w:sz w:val="21"/>
          <w:szCs w:val="21"/>
        </w:rPr>
        <w:t xml:space="preserve">Allow: all 48 analytics endpoints.</w:t>
      </w:r>
    </w:p>
    <w:p>
      <w:pPr>
        <w:pStyle w:val="ListParagraph"/>
        <w:numPr>
          <w:ilvl w:val="0"/>
          <w:numId w:val="2"/>
        </w:numPr>
        <w:spacing w:after="85" w:line="285"/>
      </w:pPr>
      <w:r>
        <w:rPr>
          <w:sz w:val="21"/>
          <w:szCs w:val="21"/>
        </w:rPr>
        <w:t xml:space="preserve">Allow: the 25 report and export endpoints that do not reveal answers, including the per-coder reports and matrices.</w:t>
      </w:r>
    </w:p>
    <w:p>
      <w:pPr>
        <w:pStyle w:val="ListParagraph"/>
        <w:numPr>
          <w:ilvl w:val="0"/>
          <w:numId w:val="2"/>
        </w:numPr>
        <w:spacing w:after="85" w:line="285"/>
      </w:pPr>
      <w:r>
        <w:rPr>
          <w:b/>
          <w:bCs/>
          <w:sz w:val="21"/>
          <w:szCs w:val="21"/>
        </w:rPr>
        <w:t xml:space="preserve">Deny: the five endpoints listed above.</w:t>
      </w:r>
    </w:p>
    <w:p>
      <w:pPr>
        <w:pStyle w:val="ListParagraph"/>
        <w:numPr>
          <w:ilvl w:val="0"/>
          <w:numId w:val="2"/>
        </w:numPr>
        <w:spacing w:after="85" w:line="285"/>
      </w:pPr>
      <w:r>
        <w:rPr>
          <w:b/>
          <w:bCs/>
          <w:sz w:val="21"/>
          <w:szCs w:val="21"/>
        </w:rPr>
        <w:t xml:space="preserve">Deny: everything that writes, without exception.</w:t>
      </w:r>
    </w:p>
    <w:p>
      <w:pPr>
        <w:spacing w:after="130" w:line="285"/>
      </w:pPr>
      <w:r>
        <w:rPr>
          <w:sz w:val="21"/>
          <w:szCs w:val="21"/>
        </w:rPr>
        <w:t xml:space="preserve">Chart Library analytics is excluded from the role. It reports most-viewed and least-viewed charts and a count by specialty — a librarian's view of the collection, containing no coder and no score. A manager has no use for it, and excluding it removes an entire module from the role's surface.</w:t>
      </w:r>
    </w:p>
    <w:p>
      <w:pPr>
        <w:pStyle w:val="Heading2"/>
        <w:spacing w:after="130" w:before="300"/>
      </w:pPr>
      <w:r>
        <w:rPr>
          <w:b/>
          <w:bCs/>
          <w:color w:val="1F3864"/>
          <w:sz w:val="24"/>
          <w:szCs w:val="24"/>
        </w:rPr>
        <w:t xml:space="preserve">4.4 Navigation</w:t>
      </w:r>
    </w:p>
    <w:p>
      <w:pPr>
        <w:spacing w:after="130" w:line="285"/>
      </w:pPr>
      <w:r>
        <w:rPr>
          <w:sz w:val="21"/>
          <w:szCs w:val="21"/>
        </w:rPr>
        <w:t xml:space="preserve">Analytics currently sits inside the trainer screens, behind tabs. Filtering those tabs per role is possible — all four modules declare their tabs as lists — but it is the weaker design: it fails open the next time somebody adds a tab and forgets to exclude it, and it lands the manager on a default tab they are not allowed to see.</w:t>
      </w:r>
    </w:p>
    <w:p>
      <w:pPr>
        <w:spacing w:after="130" w:line="285"/>
      </w:pPr>
      <w:r>
        <w:rPr>
          <w:b/>
          <w:bCs/>
          <w:sz w:val="21"/>
          <w:szCs w:val="21"/>
        </w:rPr>
        <w:t xml:space="preserve">A separate manager home, with one card per analytics surface, fails closed instead: the manager path never touches a trainer screen, so a new tab is excluded by default rather than by memory.</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Hiding is not a control</w:t>
            </w:r>
          </w:p>
          <w:p>
            <w:pPr>
              <w:spacing w:after="65" w:line="285"/>
            </w:pPr>
            <w:r>
              <w:rPr>
                <w:sz w:val="21"/>
                <w:szCs w:val="21"/>
              </w:rPr>
              <w:t xml:space="preserve">Hidden tabs are presentation. The boundary must be the API refusing the request. The interface work exists so a manager never meets a control they cannot use; the server work exists so that it would not matter if they did.</w:t>
            </w:r>
          </w:p>
        </w:tc>
      </w:tr>
    </w:tbl>
    <w:p>
      <w:r>
        <w:br w:type="page"/>
      </w:r>
    </w:p>
    <w:p>
      <w:pPr>
        <w:pStyle w:val="Heading1"/>
        <w:spacing w:after="170" w:before="400"/>
      </w:pPr>
      <w:r>
        <w:rPr>
          <w:b/>
          <w:bCs/>
          <w:color w:val="1F3864"/>
          <w:sz w:val="30"/>
          <w:szCs w:val="30"/>
        </w:rPr>
        <w:t xml:space="preserve">5. Authentication</w:t>
      </w:r>
    </w:p>
    <w:p>
      <w:pPr>
        <w:pStyle w:val="Heading2"/>
        <w:spacing w:after="130" w:before="300"/>
      </w:pPr>
      <w:r>
        <w:rPr>
          <w:b/>
          <w:bCs/>
          <w:color w:val="1F3864"/>
          <w:sz w:val="24"/>
          <w:szCs w:val="24"/>
        </w:rPr>
        <w:t xml:space="preserve">5.1 Single sign-on</w:t>
      </w:r>
    </w:p>
    <w:p>
      <w:pPr>
        <w:spacing w:after="130" w:line="285"/>
      </w:pPr>
      <w:r>
        <w:rPr>
          <w:sz w:val="21"/>
          <w:szCs w:val="21"/>
        </w:rPr>
        <w:t xml:space="preserve">Because all four populations hold corporate accounts, one integration against the corporate identity provider serves every role. Roles follow from directory group membership, so joiners and leavers are handled by the process that already exists rather than by a second one inside this application.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900"/>
        <w:gridCol w:w="6460"/>
      </w:tblGrid>
      <w:tr>
        <w:trPr>
          <w:tblHeader/>
        </w:trPr>
        <w:tc>
          <w:tcPr>
            <w:tcW w:type="dxa" w:w="2900"/>
            <w:shd w:fill="DCE6F1" w:val="clear"/>
            <w:tcMar>
              <w:top w:type="dxa" w:w="95"/>
              <w:left w:type="dxa" w:w="135"/>
              <w:bottom w:type="dxa" w:w="95"/>
              <w:right w:type="dxa" w:w="135"/>
            </w:tcMar>
          </w:tcPr>
          <w:p>
            <w:r>
              <w:rPr>
                <w:b/>
                <w:bCs/>
                <w:color w:val="1F3864"/>
                <w:sz w:val="20"/>
                <w:szCs w:val="20"/>
              </w:rPr>
              <w:t xml:space="preserve">Item</w:t>
            </w:r>
          </w:p>
        </w:tc>
        <w:tc>
          <w:tcPr>
            <w:tcW w:type="dxa" w:w="6460"/>
            <w:shd w:fill="DCE6F1" w:val="clear"/>
            <w:tcMar>
              <w:top w:type="dxa" w:w="95"/>
              <w:left w:type="dxa" w:w="135"/>
              <w:bottom w:type="dxa" w:w="95"/>
              <w:right w:type="dxa" w:w="135"/>
            </w:tcMar>
          </w:tcPr>
          <w:p>
            <w:r>
              <w:rPr>
                <w:b/>
                <w:bCs/>
                <w:color w:val="1F3864"/>
                <w:sz w:val="20"/>
                <w:szCs w:val="20"/>
              </w:rPr>
              <w:t xml:space="preserve">Recommendation</w:t>
            </w:r>
          </w:p>
        </w:tc>
      </w:tr>
      <w:tr>
        <w:tc>
          <w:tcPr>
            <w:tcW w:type="dxa" w:w="2900"/>
            <w:tcMar>
              <w:top w:type="dxa" w:w="95"/>
              <w:left w:type="dxa" w:w="135"/>
              <w:bottom w:type="dxa" w:w="95"/>
              <w:right w:type="dxa" w:w="135"/>
            </w:tcMar>
          </w:tcPr>
          <w:p>
            <w:r>
              <w:rPr>
                <w:sz w:val="20"/>
                <w:szCs w:val="20"/>
              </w:rPr>
              <w:t xml:space="preserve">Protocol</w:t>
            </w:r>
          </w:p>
        </w:tc>
        <w:tc>
          <w:tcPr>
            <w:tcW w:type="dxa" w:w="6460"/>
            <w:tcMar>
              <w:top w:type="dxa" w:w="95"/>
              <w:left w:type="dxa" w:w="135"/>
              <w:bottom w:type="dxa" w:w="95"/>
              <w:right w:type="dxa" w:w="135"/>
            </w:tcMar>
          </w:tcPr>
          <w:p>
            <w:r>
              <w:rPr>
                <w:sz w:val="20"/>
                <w:szCs w:val="20"/>
              </w:rPr>
              <w:t xml:space="preserve">OpenID Connect. SAML is acceptable if it is the organisational standard.</w:t>
            </w:r>
          </w:p>
        </w:tc>
      </w:tr>
      <w:tr>
        <w:tc>
          <w:tcPr>
            <w:tcW w:type="dxa" w:w="2900"/>
            <w:tcMar>
              <w:top w:type="dxa" w:w="95"/>
              <w:left w:type="dxa" w:w="135"/>
              <w:bottom w:type="dxa" w:w="95"/>
              <w:right w:type="dxa" w:w="135"/>
            </w:tcMar>
          </w:tcPr>
          <w:p>
            <w:r>
              <w:rPr>
                <w:sz w:val="20"/>
                <w:szCs w:val="20"/>
              </w:rPr>
              <w:t xml:space="preserve">Directory groups required</w:t>
            </w:r>
          </w:p>
        </w:tc>
        <w:tc>
          <w:tcPr>
            <w:tcW w:type="dxa" w:w="6460"/>
            <w:tcMar>
              <w:top w:type="dxa" w:w="95"/>
              <w:left w:type="dxa" w:w="135"/>
              <w:bottom w:type="dxa" w:w="95"/>
              <w:right w:type="dxa" w:w="135"/>
            </w:tcMar>
          </w:tcPr>
          <w:p>
            <w:r>
              <w:rPr>
                <w:sz w:val="20"/>
                <w:szCs w:val="20"/>
              </w:rPr>
              <w:t xml:space="preserve">Four, one per role. Provisioning these is usually the longest lead time — raise it early.</w:t>
            </w:r>
          </w:p>
        </w:tc>
      </w:tr>
      <w:tr>
        <w:tc>
          <w:tcPr>
            <w:tcW w:type="dxa" w:w="2900"/>
            <w:tcMar>
              <w:top w:type="dxa" w:w="95"/>
              <w:left w:type="dxa" w:w="135"/>
              <w:bottom w:type="dxa" w:w="95"/>
              <w:right w:type="dxa" w:w="135"/>
            </w:tcMar>
          </w:tcPr>
          <w:p>
            <w:r>
              <w:rPr>
                <w:sz w:val="20"/>
                <w:szCs w:val="20"/>
              </w:rPr>
              <w:t xml:space="preserve">Role source</w:t>
            </w:r>
          </w:p>
        </w:tc>
        <w:tc>
          <w:tcPr>
            <w:tcW w:type="dxa" w:w="6460"/>
            <w:tcMar>
              <w:top w:type="dxa" w:w="95"/>
              <w:left w:type="dxa" w:w="135"/>
              <w:bottom w:type="dxa" w:w="95"/>
              <w:right w:type="dxa" w:w="135"/>
            </w:tcMar>
          </w:tcPr>
          <w:p>
            <w:r>
              <w:rPr>
                <w:sz w:val="20"/>
                <w:szCs w:val="20"/>
              </w:rPr>
              <w:t xml:space="preserve">A group claim in the token. The application maps group to role and stores nothing about permissions itself.</w:t>
            </w:r>
          </w:p>
        </w:tc>
      </w:tr>
      <w:tr>
        <w:tc>
          <w:tcPr>
            <w:tcW w:type="dxa" w:w="2900"/>
            <w:tcMar>
              <w:top w:type="dxa" w:w="95"/>
              <w:left w:type="dxa" w:w="135"/>
              <w:bottom w:type="dxa" w:w="95"/>
              <w:right w:type="dxa" w:w="135"/>
            </w:tcMar>
          </w:tcPr>
          <w:p>
            <w:r>
              <w:rPr>
                <w:sz w:val="20"/>
                <w:szCs w:val="20"/>
              </w:rPr>
              <w:t xml:space="preserve">Unauthenticated exceptions</w:t>
            </w:r>
          </w:p>
        </w:tc>
        <w:tc>
          <w:tcPr>
            <w:tcW w:type="dxa" w:w="6460"/>
            <w:tcMar>
              <w:top w:type="dxa" w:w="95"/>
              <w:left w:type="dxa" w:w="135"/>
              <w:bottom w:type="dxa" w:w="95"/>
              <w:right w:type="dxa" w:w="135"/>
            </w:tcMar>
          </w:tcPr>
          <w:p>
            <w:r>
              <w:rPr>
                <w:rFonts w:ascii="Consolas" w:cs="Consolas" w:eastAsia="Consolas" w:hAnsi="Consolas"/>
                <w:sz w:val="18"/>
                <w:szCs w:val="18"/>
              </w:rPr>
              <w:t xml:space="preserve">/health</w:t>
            </w:r>
            <w:r>
              <w:rPr>
                <w:sz w:val="20"/>
                <w:szCs w:val="20"/>
              </w:rPr>
              <w:t xml:space="preserve"> only, so that platform monitoring and the deployment smoke test continue to work.</w:t>
            </w:r>
          </w:p>
        </w:tc>
      </w:tr>
    </w:tbl>
    <w:p>
      <w:pPr>
        <w:pStyle w:val="Heading2"/>
        <w:spacing w:after="130" w:before="300"/>
      </w:pPr>
      <w:r>
        <w:rPr>
          <w:b/>
          <w:bCs/>
          <w:color w:val="1F3864"/>
          <w:sz w:val="24"/>
          <w:szCs w:val="24"/>
        </w:rPr>
        <w:t xml:space="preserve">5.2 What happens to the existing tokens</w:t>
      </w:r>
    </w:p>
    <w:p>
      <w:pPr>
        <w:spacing w:after="130" w:line="285"/>
      </w:pPr>
      <w:r>
        <w:rPr>
          <w:sz w:val="21"/>
          <w:szCs w:val="21"/>
        </w:rPr>
        <w:t xml:space="preserve">The session token stops being a credential and becomes an </w:t>
      </w:r>
      <w:r>
        <w:rPr>
          <w:b/>
          <w:bCs/>
          <w:sz w:val="21"/>
          <w:szCs w:val="21"/>
        </w:rPr>
        <w:t xml:space="preserve">assignment reference</w:t>
      </w:r>
      <w:r>
        <w:rPr>
          <w:sz w:val="21"/>
          <w:szCs w:val="21"/>
        </w:rPr>
        <w:t xml:space="preserve"> — it says which work is yours, not who you are. This removes the forwarding problem outright, because the link is worthless to anyone who cannot sign in as its owner, and it preserves the existing session machinery rather than discarding it.</w:t>
      </w:r>
    </w:p>
    <w:p>
      <w:pPr>
        <w:pStyle w:val="Heading2"/>
        <w:spacing w:after="130" w:before="300"/>
      </w:pPr>
      <w:r>
        <w:rPr>
          <w:b/>
          <w:bCs/>
          <w:color w:val="1F3864"/>
          <w:sz w:val="24"/>
          <w:szCs w:val="24"/>
        </w:rPr>
        <w:t xml:space="preserve">5.3 What single sign-on does not solve</w:t>
      </w:r>
    </w:p>
    <w:p>
      <w:pPr>
        <w:spacing w:after="130" w:line="285"/>
      </w:pPr>
      <w:r>
        <w:rPr>
          <w:sz w:val="21"/>
          <w:szCs w:val="21"/>
        </w:rPr>
        <w:t xml:space="preserve">It verifies who signed in. It cannot prevent somebody signing in and then handing over the keyboard. Where an assessment score carries a consequence, that gap is real and closing it requires proctoring — an invigilator, a lockdown browser, or camera supervision — which is a separate decision about the training programme rather than about this application.</w:t>
      </w:r>
    </w:p>
    <w:p>
      <w:pPr>
        <w:spacing w:after="130" w:line="285"/>
      </w:pPr>
      <w:r>
        <w:rPr>
          <w:sz w:val="21"/>
          <w:szCs w:val="21"/>
        </w:rPr>
        <w:t xml:space="preserve">Requiring re-authentication at the point of submission is a cheaper middle ground. It is not proctoring, but it raises the effort and produces a record.</w:t>
      </w:r>
    </w:p>
    <w:p>
      <w:r>
        <w:br w:type="page"/>
      </w:r>
    </w:p>
    <w:p>
      <w:pPr>
        <w:pStyle w:val="Heading1"/>
        <w:spacing w:after="170" w:before="400"/>
      </w:pPr>
      <w:r>
        <w:rPr>
          <w:b/>
          <w:bCs/>
          <w:color w:val="1F3864"/>
          <w:sz w:val="30"/>
          <w:szCs w:val="30"/>
        </w:rPr>
        <w:t xml:space="preserve">6. Sequence</w:t>
      </w:r>
    </w:p>
    <w:p>
      <w:pPr>
        <w:spacing w:after="130" w:line="285"/>
      </w:pPr>
      <w:r>
        <w:rPr>
          <w:sz w:val="21"/>
          <w:szCs w:val="21"/>
        </w:rPr>
        <w:t xml:space="preserve">Ordered by value delivered per unit of work, and by what can proceed independently.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00"/>
        <w:gridCol w:w="2200"/>
        <w:gridCol w:w="5300"/>
        <w:gridCol w:w="1260"/>
      </w:tblGrid>
      <w:tr>
        <w:trPr>
          <w:tblHeader/>
        </w:trPr>
        <w:tc>
          <w:tcPr>
            <w:tcW w:type="dxa" w:w="600"/>
            <w:shd w:fill="DCE6F1" w:val="clear"/>
            <w:tcMar>
              <w:top w:type="dxa" w:w="95"/>
              <w:left w:type="dxa" w:w="135"/>
              <w:bottom w:type="dxa" w:w="95"/>
              <w:right w:type="dxa" w:w="135"/>
            </w:tcMar>
          </w:tcPr>
          <w:p>
            <w:r>
              <w:rPr>
                <w:b/>
                <w:bCs/>
                <w:color w:val="1F3864"/>
                <w:sz w:val="20"/>
                <w:szCs w:val="20"/>
              </w:rPr>
              <w:t xml:space="preserve">#</w:t>
            </w:r>
          </w:p>
        </w:tc>
        <w:tc>
          <w:tcPr>
            <w:tcW w:type="dxa" w:w="2200"/>
            <w:shd w:fill="DCE6F1" w:val="clear"/>
            <w:tcMar>
              <w:top w:type="dxa" w:w="95"/>
              <w:left w:type="dxa" w:w="135"/>
              <w:bottom w:type="dxa" w:w="95"/>
              <w:right w:type="dxa" w:w="135"/>
            </w:tcMar>
          </w:tcPr>
          <w:p>
            <w:r>
              <w:rPr>
                <w:b/>
                <w:bCs/>
                <w:color w:val="1F3864"/>
                <w:sz w:val="20"/>
                <w:szCs w:val="20"/>
              </w:rPr>
              <w:t xml:space="preserve">Step</w:t>
            </w:r>
          </w:p>
        </w:tc>
        <w:tc>
          <w:tcPr>
            <w:tcW w:type="dxa" w:w="5300"/>
            <w:shd w:fill="DCE6F1" w:val="clear"/>
            <w:tcMar>
              <w:top w:type="dxa" w:w="95"/>
              <w:left w:type="dxa" w:w="135"/>
              <w:bottom w:type="dxa" w:w="95"/>
              <w:right w:type="dxa" w:w="135"/>
            </w:tcMar>
          </w:tcPr>
          <w:p>
            <w:r>
              <w:rPr>
                <w:b/>
                <w:bCs/>
                <w:color w:val="1F3864"/>
                <w:sz w:val="20"/>
                <w:szCs w:val="20"/>
              </w:rPr>
              <w:t xml:space="preserve">Why here</w:t>
            </w:r>
          </w:p>
        </w:tc>
        <w:tc>
          <w:tcPr>
            <w:tcW w:type="dxa" w:w="1260"/>
            <w:shd w:fill="DCE6F1" w:val="clear"/>
            <w:tcMar>
              <w:top w:type="dxa" w:w="95"/>
              <w:left w:type="dxa" w:w="135"/>
              <w:bottom w:type="dxa" w:w="95"/>
              <w:right w:type="dxa" w:w="135"/>
            </w:tcMar>
          </w:tcPr>
          <w:p>
            <w:r>
              <w:rPr>
                <w:b/>
                <w:bCs/>
                <w:color w:val="1F3864"/>
                <w:sz w:val="20"/>
                <w:szCs w:val="20"/>
              </w:rPr>
              <w:t xml:space="preserve">Depends on</w:t>
            </w:r>
          </w:p>
        </w:tc>
      </w:tr>
      <w:tr>
        <w:tc>
          <w:tcPr>
            <w:tcW w:type="dxa" w:w="600"/>
            <w:tcMar>
              <w:top w:type="dxa" w:w="95"/>
              <w:left w:type="dxa" w:w="135"/>
              <w:bottom w:type="dxa" w:w="95"/>
              <w:right w:type="dxa" w:w="135"/>
            </w:tcMar>
          </w:tcPr>
          <w:p>
            <w:r>
              <w:rPr>
                <w:sz w:val="20"/>
                <w:szCs w:val="20"/>
              </w:rPr>
              <w:t xml:space="preserve">1</w:t>
            </w:r>
          </w:p>
        </w:tc>
        <w:tc>
          <w:tcPr>
            <w:tcW w:type="dxa" w:w="2200"/>
            <w:tcMar>
              <w:top w:type="dxa" w:w="95"/>
              <w:left w:type="dxa" w:w="135"/>
              <w:bottom w:type="dxa" w:w="95"/>
              <w:right w:type="dxa" w:w="135"/>
            </w:tcMar>
          </w:tcPr>
          <w:p>
            <w:r>
              <w:rPr>
                <w:b/>
                <w:bCs/>
                <w:sz w:val="20"/>
                <w:szCs w:val="20"/>
              </w:rPr>
              <w:t xml:space="preserve">Trainer authentication</w:t>
            </w:r>
          </w:p>
        </w:tc>
        <w:tc>
          <w:tcPr>
            <w:tcW w:type="dxa" w:w="5300"/>
            <w:tcMar>
              <w:top w:type="dxa" w:w="95"/>
              <w:left w:type="dxa" w:w="135"/>
              <w:bottom w:type="dxa" w:w="95"/>
              <w:right w:type="dxa" w:w="135"/>
            </w:tcMar>
          </w:tcPr>
          <w:p>
            <w:r>
              <w:rPr>
                <w:sz w:val="20"/>
                <w:szCs w:val="20"/>
              </w:rPr>
              <w:t xml:space="preserve">The only thing standing between a coder and every answer key is currently knowledge of a URL. Highest value, smallest surface, independent of everything else. A shared trainer password is an acceptable stopgap for the period before single sign-on lands.</w:t>
            </w:r>
          </w:p>
        </w:tc>
        <w:tc>
          <w:tcPr>
            <w:tcW w:type="dxa" w:w="1260"/>
            <w:tcMar>
              <w:top w:type="dxa" w:w="95"/>
              <w:left w:type="dxa" w:w="135"/>
              <w:bottom w:type="dxa" w:w="95"/>
              <w:right w:type="dxa" w:w="135"/>
            </w:tcMar>
          </w:tcPr>
          <w:p>
            <w:r>
              <w:rPr>
                <w:sz w:val="20"/>
                <w:szCs w:val="20"/>
              </w:rPr>
              <w:t xml:space="preserve">Nothing</w:t>
            </w:r>
          </w:p>
        </w:tc>
      </w:tr>
      <w:tr>
        <w:tc>
          <w:tcPr>
            <w:tcW w:type="dxa" w:w="600"/>
            <w:tcMar>
              <w:top w:type="dxa" w:w="95"/>
              <w:left w:type="dxa" w:w="135"/>
              <w:bottom w:type="dxa" w:w="95"/>
              <w:right w:type="dxa" w:w="135"/>
            </w:tcMar>
          </w:tcPr>
          <w:p>
            <w:r>
              <w:rPr>
                <w:sz w:val="20"/>
                <w:szCs w:val="20"/>
              </w:rPr>
              <w:t xml:space="preserve">2</w:t>
            </w:r>
          </w:p>
        </w:tc>
        <w:tc>
          <w:tcPr>
            <w:tcW w:type="dxa" w:w="2200"/>
            <w:tcMar>
              <w:top w:type="dxa" w:w="95"/>
              <w:left w:type="dxa" w:w="135"/>
              <w:bottom w:type="dxa" w:w="95"/>
              <w:right w:type="dxa" w:w="135"/>
            </w:tcMar>
          </w:tcPr>
          <w:p>
            <w:r>
              <w:rPr>
                <w:b/>
                <w:bCs/>
                <w:sz w:val="20"/>
                <w:szCs w:val="20"/>
              </w:rPr>
              <w:t xml:space="preserve">Session expiry</w:t>
            </w:r>
          </w:p>
        </w:tc>
        <w:tc>
          <w:tcPr>
            <w:tcW w:type="dxa" w:w="5300"/>
            <w:tcMar>
              <w:top w:type="dxa" w:w="95"/>
              <w:left w:type="dxa" w:w="135"/>
              <w:bottom w:type="dxa" w:w="95"/>
              <w:right w:type="dxa" w:w="135"/>
            </w:tcMar>
          </w:tcPr>
          <w:p>
            <w:r>
              <w:rPr>
                <w:sz w:val="20"/>
                <w:szCs w:val="20"/>
              </w:rPr>
              <w:t xml:space="preserve">Done. Recorded here because it was part of this design. See section 7.</w:t>
            </w:r>
          </w:p>
        </w:tc>
        <w:tc>
          <w:tcPr>
            <w:tcW w:type="dxa" w:w="1260"/>
            <w:tcMar>
              <w:top w:type="dxa" w:w="95"/>
              <w:left w:type="dxa" w:w="135"/>
              <w:bottom w:type="dxa" w:w="95"/>
              <w:right w:type="dxa" w:w="135"/>
            </w:tcMar>
          </w:tcPr>
          <w:p>
            <w:r>
              <w:rPr>
                <w:sz w:val="20"/>
                <w:szCs w:val="20"/>
              </w:rPr>
              <w:t xml:space="preserve">Nothing</w:t>
            </w:r>
          </w:p>
        </w:tc>
      </w:tr>
      <w:tr>
        <w:tc>
          <w:tcPr>
            <w:tcW w:type="dxa" w:w="600"/>
            <w:tcMar>
              <w:top w:type="dxa" w:w="95"/>
              <w:left w:type="dxa" w:w="135"/>
              <w:bottom w:type="dxa" w:w="95"/>
              <w:right w:type="dxa" w:w="135"/>
            </w:tcMar>
          </w:tcPr>
          <w:p>
            <w:r>
              <w:rPr>
                <w:sz w:val="20"/>
                <w:szCs w:val="20"/>
              </w:rPr>
              <w:t xml:space="preserve">3</w:t>
            </w:r>
          </w:p>
        </w:tc>
        <w:tc>
          <w:tcPr>
            <w:tcW w:type="dxa" w:w="2200"/>
            <w:tcMar>
              <w:top w:type="dxa" w:w="95"/>
              <w:left w:type="dxa" w:w="135"/>
              <w:bottom w:type="dxa" w:w="95"/>
              <w:right w:type="dxa" w:w="135"/>
            </w:tcMar>
          </w:tcPr>
          <w:p>
            <w:r>
              <w:rPr>
                <w:b/>
                <w:bCs/>
                <w:sz w:val="20"/>
                <w:szCs w:val="20"/>
              </w:rPr>
              <w:t xml:space="preserve">Single sign-on and roles</w:t>
            </w:r>
          </w:p>
        </w:tc>
        <w:tc>
          <w:tcPr>
            <w:tcW w:type="dxa" w:w="5300"/>
            <w:tcMar>
              <w:top w:type="dxa" w:w="95"/>
              <w:left w:type="dxa" w:w="135"/>
              <w:bottom w:type="dxa" w:w="95"/>
              <w:right w:type="dxa" w:w="135"/>
            </w:tcMar>
          </w:tcPr>
          <w:p>
            <w:r>
              <w:rPr>
                <w:sz w:val="20"/>
                <w:szCs w:val="20"/>
              </w:rPr>
              <w:t xml:space="preserve">Replaces typed names with verified identity and makes every later control meaningful. The manager role should be built here rather than before, since it needs roles to exist.</w:t>
            </w:r>
          </w:p>
        </w:tc>
        <w:tc>
          <w:tcPr>
            <w:tcW w:type="dxa" w:w="1260"/>
            <w:tcMar>
              <w:top w:type="dxa" w:w="95"/>
              <w:left w:type="dxa" w:w="135"/>
              <w:bottom w:type="dxa" w:w="95"/>
              <w:right w:type="dxa" w:w="135"/>
            </w:tcMar>
          </w:tcPr>
          <w:p>
            <w:r>
              <w:rPr>
                <w:sz w:val="20"/>
                <w:szCs w:val="20"/>
              </w:rPr>
              <w:t xml:space="preserve">Directory groups; migration</w:t>
            </w:r>
          </w:p>
        </w:tc>
      </w:tr>
      <w:tr>
        <w:tc>
          <w:tcPr>
            <w:tcW w:type="dxa" w:w="600"/>
            <w:tcMar>
              <w:top w:type="dxa" w:w="95"/>
              <w:left w:type="dxa" w:w="135"/>
              <w:bottom w:type="dxa" w:w="95"/>
              <w:right w:type="dxa" w:w="135"/>
            </w:tcMar>
          </w:tcPr>
          <w:p>
            <w:r>
              <w:rPr>
                <w:sz w:val="20"/>
                <w:szCs w:val="20"/>
              </w:rPr>
              <w:t xml:space="preserve">4</w:t>
            </w:r>
          </w:p>
        </w:tc>
        <w:tc>
          <w:tcPr>
            <w:tcW w:type="dxa" w:w="2200"/>
            <w:tcMar>
              <w:top w:type="dxa" w:w="95"/>
              <w:left w:type="dxa" w:w="135"/>
              <w:bottom w:type="dxa" w:w="95"/>
              <w:right w:type="dxa" w:w="135"/>
            </w:tcMar>
          </w:tcPr>
          <w:p>
            <w:r>
              <w:rPr>
                <w:b/>
                <w:bCs/>
                <w:sz w:val="20"/>
                <w:szCs w:val="20"/>
              </w:rPr>
              <w:t xml:space="preserve">Participant chart scoping</w:t>
            </w:r>
          </w:p>
        </w:tc>
        <w:tc>
          <w:tcPr>
            <w:tcW w:type="dxa" w:w="5300"/>
            <w:tcMar>
              <w:top w:type="dxa" w:w="95"/>
              <w:left w:type="dxa" w:w="135"/>
              <w:bottom w:type="dxa" w:w="95"/>
              <w:right w:type="dxa" w:w="135"/>
            </w:tcMar>
          </w:tcPr>
          <w:p>
            <w:r>
              <w:rPr>
                <w:sz w:val="20"/>
                <w:szCs w:val="20"/>
              </w:rPr>
              <w:t xml:space="preserve">Restricting the library to assigned charts. Genuinely the least urgent of these, and it needs a decision on whether the library is a study resource.</w:t>
            </w:r>
          </w:p>
        </w:tc>
        <w:tc>
          <w:tcPr>
            <w:tcW w:type="dxa" w:w="1260"/>
            <w:tcMar>
              <w:top w:type="dxa" w:w="95"/>
              <w:left w:type="dxa" w:w="135"/>
              <w:bottom w:type="dxa" w:w="95"/>
              <w:right w:type="dxa" w:w="135"/>
            </w:tcMar>
          </w:tcPr>
          <w:p>
            <w:r>
              <w:rPr>
                <w:sz w:val="20"/>
                <w:szCs w:val="20"/>
              </w:rPr>
              <w:t xml:space="preserve">Roles</w:t>
            </w:r>
          </w:p>
        </w:tc>
      </w:tr>
    </w:tbl>
    <w:p>
      <w:r>
        <w:br w:type="page"/>
      </w:r>
    </w:p>
    <w:p>
      <w:pPr>
        <w:pStyle w:val="Heading1"/>
        <w:spacing w:after="170" w:before="400"/>
      </w:pPr>
      <w:r>
        <w:rPr>
          <w:b/>
          <w:bCs/>
          <w:color w:val="1F3864"/>
          <w:sz w:val="30"/>
          <w:szCs w:val="30"/>
        </w:rPr>
        <w:t xml:space="preserve">7. Already implemented</w:t>
      </w:r>
    </w:p>
    <w:p>
      <w:pPr>
        <w:spacing w:after="130" w:line="285"/>
      </w:pPr>
      <w:r>
        <w:rPr>
          <w:sz w:val="21"/>
          <w:szCs w:val="21"/>
        </w:rPr>
        <w:t xml:space="preserve">One part of this design is built and deployed, and is recorded here so the document describes the system accurately.</w:t>
      </w:r>
    </w:p>
    <w:p>
      <w:pPr>
        <w:pStyle w:val="Heading2"/>
        <w:spacing w:after="130" w:before="300"/>
      </w:pPr>
      <w:r>
        <w:rPr>
          <w:b/>
          <w:bCs/>
          <w:color w:val="1F3864"/>
          <w:sz w:val="24"/>
          <w:szCs w:val="24"/>
        </w:rPr>
        <w:t xml:space="preserve">7.1 A session ends when its batch closes</w:t>
      </w:r>
    </w:p>
    <w:p>
      <w:pPr>
        <w:spacing w:after="130" w:line="285"/>
      </w:pPr>
      <w:r>
        <w:rPr>
          <w:sz w:val="21"/>
          <w:szCs w:val="21"/>
        </w:rPr>
        <w:t xml:space="preserve">Practice and audit tokens had no expiry and never have had. A timer was considered and rejected: tokens are distributed days before the work begins, a batch runs for days rather than for one sitting, and any fixed duration would either expire mid-batch or be long enough to protect nothing.</w:t>
      </w:r>
    </w:p>
    <w:p>
      <w:pPr>
        <w:spacing w:after="130" w:line="285"/>
      </w:pPr>
      <w:r>
        <w:rPr>
          <w:sz w:val="21"/>
          <w:szCs w:val="21"/>
        </w:rPr>
        <w:t xml:space="preserve">Closing a batch is already a deliberate trainer action meaning </w:t>
      </w:r>
      <w:r>
        <w:rPr>
          <w:i/>
          <w:iCs/>
          <w:sz w:val="21"/>
          <w:szCs w:val="21"/>
        </w:rPr>
        <w:t xml:space="preserve">the work is done</w:t>
      </w:r>
      <w:r>
        <w:rPr>
          <w:sz w:val="21"/>
          <w:szCs w:val="21"/>
        </w:rPr>
        <w:t xml:space="preserve">, so it is the honest place for access to end. The auditor module already enforced this. PracticeLab did not: its four checks were all trainer-side, and a coder's own submission was never gated, so a token could still write results into a batch whose results had already become the record.</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The write ends; the reading does not</w:t>
            </w:r>
          </w:p>
          <w:p>
            <w:pPr>
              <w:spacing w:after="65" w:line="285"/>
            </w:pPr>
            <w:r>
              <w:rPr>
                <w:sz w:val="21"/>
                <w:szCs w:val="21"/>
              </w:rPr>
              <w:t xml:space="preserve">An expired token still opens its own feedback. A coder who cannot see how they did has lost the point of the exercise, and that distinction is what keeps this a control rather than an irritation.</w:t>
            </w:r>
          </w:p>
          <w:p>
            <w:pPr>
              <w:spacing w:after="65" w:line="285"/>
            </w:pPr>
            <w:r>
              <w:rPr>
                <w:sz w:val="21"/>
                <w:szCs w:val="21"/>
              </w:rPr>
              <w:t xml:space="preserve">Reopening a batch already exists behind the master passphrase, so the way back is unchanged.</w:t>
            </w:r>
          </w:p>
        </w:tc>
      </w:tr>
    </w:tbl>
    <w:p>
      <w:pPr>
        <w:pStyle w:val="Heading1"/>
        <w:spacing w:after="170" w:before="400"/>
      </w:pPr>
      <w:r>
        <w:rPr>
          <w:b/>
          <w:bCs/>
          <w:color w:val="1F3864"/>
          <w:sz w:val="30"/>
          <w:szCs w:val="30"/>
        </w:rPr>
        <w:t xml:space="preserve">8. Open questions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00"/>
        <w:gridCol w:w="4200"/>
        <w:gridCol w:w="4560"/>
      </w:tblGrid>
      <w:tr>
        <w:trPr>
          <w:tblHeader/>
        </w:trPr>
        <w:tc>
          <w:tcPr>
            <w:tcW w:type="dxa" w:w="600"/>
            <w:shd w:fill="DCE6F1" w:val="clear"/>
            <w:tcMar>
              <w:top w:type="dxa" w:w="95"/>
              <w:left w:type="dxa" w:w="135"/>
              <w:bottom w:type="dxa" w:w="95"/>
              <w:right w:type="dxa" w:w="135"/>
            </w:tcMar>
          </w:tcPr>
          <w:p>
            <w:r>
              <w:rPr>
                <w:b/>
                <w:bCs/>
                <w:color w:val="1F3864"/>
                <w:sz w:val="20"/>
                <w:szCs w:val="20"/>
              </w:rPr>
              <w:t xml:space="preserve">#</w:t>
            </w:r>
          </w:p>
        </w:tc>
        <w:tc>
          <w:tcPr>
            <w:tcW w:type="dxa" w:w="4200"/>
            <w:shd w:fill="DCE6F1" w:val="clear"/>
            <w:tcMar>
              <w:top w:type="dxa" w:w="95"/>
              <w:left w:type="dxa" w:w="135"/>
              <w:bottom w:type="dxa" w:w="95"/>
              <w:right w:type="dxa" w:w="135"/>
            </w:tcMar>
          </w:tcPr>
          <w:p>
            <w:r>
              <w:rPr>
                <w:b/>
                <w:bCs/>
                <w:color w:val="1F3864"/>
                <w:sz w:val="20"/>
                <w:szCs w:val="20"/>
              </w:rPr>
              <w:t xml:space="preserve">Question</w:t>
            </w:r>
          </w:p>
        </w:tc>
        <w:tc>
          <w:tcPr>
            <w:tcW w:type="dxa" w:w="4560"/>
            <w:shd w:fill="DCE6F1" w:val="clear"/>
            <w:tcMar>
              <w:top w:type="dxa" w:w="95"/>
              <w:left w:type="dxa" w:w="135"/>
              <w:bottom w:type="dxa" w:w="95"/>
              <w:right w:type="dxa" w:w="135"/>
            </w:tcMar>
          </w:tcPr>
          <w:p>
            <w:r>
              <w:rPr>
                <w:b/>
                <w:bCs/>
                <w:color w:val="1F3864"/>
                <w:sz w:val="20"/>
                <w:szCs w:val="20"/>
              </w:rPr>
              <w:t xml:space="preserve">Why it matters</w:t>
            </w:r>
          </w:p>
        </w:tc>
      </w:tr>
      <w:tr>
        <w:tc>
          <w:tcPr>
            <w:tcW w:type="dxa" w:w="600"/>
            <w:tcMar>
              <w:top w:type="dxa" w:w="95"/>
              <w:left w:type="dxa" w:w="135"/>
              <w:bottom w:type="dxa" w:w="95"/>
              <w:right w:type="dxa" w:w="135"/>
            </w:tcMar>
          </w:tcPr>
          <w:p>
            <w:r>
              <w:rPr>
                <w:sz w:val="20"/>
                <w:szCs w:val="20"/>
              </w:rPr>
              <w:t xml:space="preserve">1</w:t>
            </w:r>
          </w:p>
        </w:tc>
        <w:tc>
          <w:tcPr>
            <w:tcW w:type="dxa" w:w="4200"/>
            <w:tcMar>
              <w:top w:type="dxa" w:w="95"/>
              <w:left w:type="dxa" w:w="135"/>
              <w:bottom w:type="dxa" w:w="95"/>
              <w:right w:type="dxa" w:w="135"/>
            </w:tcMar>
          </w:tcPr>
          <w:p>
            <w:r>
              <w:rPr>
                <w:sz w:val="20"/>
                <w:szCs w:val="20"/>
              </w:rPr>
              <w:t xml:space="preserve">Is the chart library a study resource coders may browse freely, or only a delivery mechanism for assigned work?</w:t>
            </w:r>
          </w:p>
        </w:tc>
        <w:tc>
          <w:tcPr>
            <w:tcW w:type="dxa" w:w="4560"/>
            <w:tcMar>
              <w:top w:type="dxa" w:w="95"/>
              <w:left w:type="dxa" w:w="135"/>
              <w:bottom w:type="dxa" w:w="95"/>
              <w:right w:type="dxa" w:w="135"/>
            </w:tcMar>
          </w:tcPr>
          <w:p>
            <w:r>
              <w:rPr>
                <w:sz w:val="20"/>
                <w:szCs w:val="20"/>
              </w:rPr>
              <w:t xml:space="preserve">Determines whether step 4 should be built at all. This is a decision about training design, not about technology.</w:t>
            </w:r>
          </w:p>
        </w:tc>
      </w:tr>
      <w:tr>
        <w:tc>
          <w:tcPr>
            <w:tcW w:type="dxa" w:w="600"/>
            <w:tcMar>
              <w:top w:type="dxa" w:w="95"/>
              <w:left w:type="dxa" w:w="135"/>
              <w:bottom w:type="dxa" w:w="95"/>
              <w:right w:type="dxa" w:w="135"/>
            </w:tcMar>
          </w:tcPr>
          <w:p>
            <w:r>
              <w:rPr>
                <w:sz w:val="20"/>
                <w:szCs w:val="20"/>
              </w:rPr>
              <w:t xml:space="preserve">2</w:t>
            </w:r>
          </w:p>
        </w:tc>
        <w:tc>
          <w:tcPr>
            <w:tcW w:type="dxa" w:w="4200"/>
            <w:tcMar>
              <w:top w:type="dxa" w:w="95"/>
              <w:left w:type="dxa" w:w="135"/>
              <w:bottom w:type="dxa" w:w="95"/>
              <w:right w:type="dxa" w:w="135"/>
            </w:tcMar>
          </w:tcPr>
          <w:p>
            <w:r>
              <w:rPr>
                <w:sz w:val="20"/>
                <w:szCs w:val="20"/>
              </w:rPr>
              <w:t xml:space="preserve">Should managers see individual coders, or only aggregates?</w:t>
            </w:r>
          </w:p>
        </w:tc>
        <w:tc>
          <w:tcPr>
            <w:tcW w:type="dxa" w:w="4560"/>
            <w:tcMar>
              <w:top w:type="dxa" w:w="95"/>
              <w:left w:type="dxa" w:w="135"/>
              <w:bottom w:type="dxa" w:w="95"/>
              <w:right w:type="dxa" w:w="135"/>
            </w:tcMar>
          </w:tcPr>
          <w:p>
            <w:r>
              <w:rPr>
                <w:sz w:val="20"/>
                <w:szCs w:val="20"/>
              </w:rPr>
              <w:t xml:space="preserve">Currently answered as individuals. If it changes to team-scoped, the application has no concept of teams and the work is substantially larger.</w:t>
            </w:r>
          </w:p>
        </w:tc>
      </w:tr>
      <w:tr>
        <w:tc>
          <w:tcPr>
            <w:tcW w:type="dxa" w:w="600"/>
            <w:tcMar>
              <w:top w:type="dxa" w:w="95"/>
              <w:left w:type="dxa" w:w="135"/>
              <w:bottom w:type="dxa" w:w="95"/>
              <w:right w:type="dxa" w:w="135"/>
            </w:tcMar>
          </w:tcPr>
          <w:p>
            <w:r>
              <w:rPr>
                <w:sz w:val="20"/>
                <w:szCs w:val="20"/>
              </w:rPr>
              <w:t xml:space="preserve">3</w:t>
            </w:r>
          </w:p>
        </w:tc>
        <w:tc>
          <w:tcPr>
            <w:tcW w:type="dxa" w:w="4200"/>
            <w:tcMar>
              <w:top w:type="dxa" w:w="95"/>
              <w:left w:type="dxa" w:w="135"/>
              <w:bottom w:type="dxa" w:w="95"/>
              <w:right w:type="dxa" w:w="135"/>
            </w:tcMar>
          </w:tcPr>
          <w:p>
            <w:r>
              <w:rPr>
                <w:sz w:val="20"/>
                <w:szCs w:val="20"/>
              </w:rPr>
              <w:t xml:space="preserve">Is there a period after migration when the application is reachable beyond the internal network?</w:t>
            </w:r>
          </w:p>
        </w:tc>
        <w:tc>
          <w:tcPr>
            <w:tcW w:type="dxa" w:w="4560"/>
            <w:tcMar>
              <w:top w:type="dxa" w:w="95"/>
              <w:left w:type="dxa" w:w="135"/>
              <w:bottom w:type="dxa" w:w="95"/>
              <w:right w:type="dxa" w:w="135"/>
            </w:tcMar>
          </w:tcPr>
          <w:p>
            <w:r>
              <w:rPr>
                <w:sz w:val="20"/>
                <w:szCs w:val="20"/>
              </w:rPr>
              <w:t xml:space="preserve">Determines how much the interim stopgap in step 1 has to carry.</w:t>
            </w:r>
          </w:p>
        </w:tc>
      </w:tr>
      <w:tr>
        <w:tc>
          <w:tcPr>
            <w:tcW w:type="dxa" w:w="600"/>
            <w:tcMar>
              <w:top w:type="dxa" w:w="95"/>
              <w:left w:type="dxa" w:w="135"/>
              <w:bottom w:type="dxa" w:w="95"/>
              <w:right w:type="dxa" w:w="135"/>
            </w:tcMar>
          </w:tcPr>
          <w:p>
            <w:r>
              <w:rPr>
                <w:sz w:val="20"/>
                <w:szCs w:val="20"/>
              </w:rPr>
              <w:t xml:space="preserve">4</w:t>
            </w:r>
          </w:p>
        </w:tc>
        <w:tc>
          <w:tcPr>
            <w:tcW w:type="dxa" w:w="4200"/>
            <w:tcMar>
              <w:top w:type="dxa" w:w="95"/>
              <w:left w:type="dxa" w:w="135"/>
              <w:bottom w:type="dxa" w:w="95"/>
              <w:right w:type="dxa" w:w="135"/>
            </w:tcMar>
          </w:tcPr>
          <w:p>
            <w:r>
              <w:rPr>
                <w:sz w:val="20"/>
                <w:szCs w:val="20"/>
              </w:rPr>
              <w:t xml:space="preserve">Do historical results need reconciling to verified identities?</w:t>
            </w:r>
          </w:p>
        </w:tc>
        <w:tc>
          <w:tcPr>
            <w:tcW w:type="dxa" w:w="4560"/>
            <w:tcMar>
              <w:top w:type="dxa" w:w="95"/>
              <w:left w:type="dxa" w:w="135"/>
              <w:bottom w:type="dxa" w:w="95"/>
              <w:right w:type="dxa" w:w="135"/>
            </w:tcMar>
          </w:tcPr>
          <w:p>
            <w:r>
              <w:rPr>
                <w:sz w:val="20"/>
                <w:szCs w:val="20"/>
              </w:rPr>
              <w:t xml:space="preserve">Existing rows carry self-declared names. Mixing verified and self-declared attribution in one analytics view, without marking which is which, is its own quiet trap.</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Access Control Design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Access Control Design</dc:title>
  <dc:creator>PracticeLab</dc:creator>
  <dc:description>Roles, authentication and authorisation for the internal deployment</dc:description>
  <cp:lastModifiedBy>Un-named</cp:lastModifiedBy>
  <cp:revision>1</cp:revision>
  <dcterms:created xsi:type="dcterms:W3CDTF">2026-08-24T13:23:04.875Z</dcterms:created>
  <dcterms:modified xsi:type="dcterms:W3CDTF">2026-08-24T13:23:04.876Z</dcterms:modified>
</cp:coreProperties>
</file>

<file path=docProps/custom.xml><?xml version="1.0" encoding="utf-8"?>
<Properties xmlns="http://schemas.openxmlformats.org/officeDocument/2006/custom-properties" xmlns:vt="http://schemas.openxmlformats.org/officeDocument/2006/docPropsVTypes"/>
</file>