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4552A" w14:textId="77777777" w:rsidR="009945E2" w:rsidRDefault="00F43DBB">
      <w:pPr>
        <w:keepNext/>
        <w:spacing w:after="40"/>
      </w:pPr>
      <w:r>
        <w:rPr>
          <w:b/>
          <w:bCs/>
          <w:color w:val="1F3864"/>
          <w:sz w:val="36"/>
          <w:szCs w:val="36"/>
        </w:rPr>
        <w:t>CALVIN ENOBOR</w:t>
      </w:r>
    </w:p>
    <w:p w14:paraId="0B540739" w14:textId="77777777" w:rsidR="009945E2" w:rsidRDefault="00F43DBB">
      <w:pPr>
        <w:spacing w:after="80"/>
      </w:pPr>
      <w:r>
        <w:t>Data &amp; AI Governance | Responsible AI | Data Quality | Information Governance | Data Stewardship</w:t>
      </w:r>
    </w:p>
    <w:p w14:paraId="31A5DCD1" w14:textId="77777777" w:rsidR="009945E2" w:rsidRDefault="00F43DBB">
      <w:pPr>
        <w:spacing w:after="40"/>
      </w:pPr>
      <w:r>
        <w:t xml:space="preserve">calvin.enobor@gmail.com | +44 7349 112355 | London, UK | </w:t>
      </w:r>
      <w:hyperlink r:id="rId5" w:history="1">
        <w:r w:rsidR="009945E2">
          <w:rPr>
            <w:rStyle w:val="Hyperlink"/>
          </w:rPr>
          <w:t>LinkedIn Profile</w:t>
        </w:r>
      </w:hyperlink>
      <w:r>
        <w:t xml:space="preserve"> | </w:t>
      </w:r>
      <w:hyperlink r:id="rId6" w:history="1">
        <w:r w:rsidR="009945E2">
          <w:rPr>
            <w:rStyle w:val="Hyperlink"/>
          </w:rPr>
          <w:t>Portfolio</w:t>
        </w:r>
      </w:hyperlink>
    </w:p>
    <w:p w14:paraId="4314FFDD" w14:textId="3C73A823" w:rsidR="009945E2" w:rsidRPr="004026E4" w:rsidRDefault="009945E2">
      <w:pPr>
        <w:pBdr>
          <w:bottom w:val="single" w:sz="4" w:space="4" w:color="AAAAAA"/>
        </w:pBdr>
        <w:spacing w:after="120"/>
        <w:rPr>
          <w:sz w:val="2"/>
          <w:szCs w:val="2"/>
        </w:rPr>
      </w:pPr>
    </w:p>
    <w:p w14:paraId="17A89522" w14:textId="77777777" w:rsidR="009945E2" w:rsidRDefault="00F43DBB">
      <w:pPr>
        <w:keepNext/>
        <w:pBdr>
          <w:bottom w:val="single" w:sz="6" w:space="2" w:color="1F3864"/>
        </w:pBdr>
        <w:spacing w:before="220" w:after="90"/>
      </w:pPr>
      <w:r>
        <w:rPr>
          <w:b/>
          <w:bCs/>
          <w:color w:val="1F3864"/>
          <w:sz w:val="24"/>
          <w:szCs w:val="24"/>
        </w:rPr>
        <w:t>PROFESSIONAL SUMMARY</w:t>
      </w:r>
    </w:p>
    <w:p w14:paraId="396DF6A5" w14:textId="79C5993A" w:rsidR="009945E2" w:rsidRDefault="00F43DBB">
      <w:pPr>
        <w:spacing w:after="120"/>
      </w:pPr>
      <w:r>
        <w:rPr>
          <w:sz w:val="24"/>
          <w:szCs w:val="24"/>
        </w:rPr>
        <w:t>Data and AI governance lead with 6+ years' experience across banking, telecoms and consultancy, building governance that lets a business trust its data and adopt AI with the right controls in place. At Decision Inc UK, built a client's governance function from the ground up: secured executive sponsorship and framework sign-off, rolled out Microsoft Purview enterprise-wide, and turned the EU AI Act into working controls, including an MCP server gateway that has moved 8,000+ users onto governed AI access and stopped 100+ highly confidential data assets being processed by AI tools. Earlier, cut monthly data quality issues from 15 to 8 across 3.9 million banking customer records and revised a reported 20 million telecoms subscriber base to a true 14.2 million mid-acquisition, directly affecting the valuation. Hands-on with Microsoft Purview, Collibra, SQL, Power BI, Microsoft Fabric and Azure, with working knowledge of Alation, Atlan and Informatica. Works within DAMA-DMBOK, with CDMP in progress.</w:t>
      </w:r>
    </w:p>
    <w:p w14:paraId="4A9BE1BF" w14:textId="77777777" w:rsidR="009945E2" w:rsidRDefault="00F43DBB">
      <w:pPr>
        <w:keepNext/>
        <w:pBdr>
          <w:bottom w:val="single" w:sz="6" w:space="2" w:color="1F3864"/>
        </w:pBdr>
        <w:spacing w:before="220" w:after="90"/>
      </w:pPr>
      <w:r>
        <w:rPr>
          <w:b/>
          <w:bCs/>
          <w:color w:val="1F3864"/>
          <w:sz w:val="24"/>
          <w:szCs w:val="24"/>
        </w:rPr>
        <w:t>CORE SKILLS</w:t>
      </w:r>
    </w:p>
    <w:p w14:paraId="59303301" w14:textId="77777777" w:rsidR="009945E2" w:rsidRDefault="00F43DBB">
      <w:pPr>
        <w:keepNext/>
        <w:spacing w:after="80"/>
      </w:pPr>
      <w:r>
        <w:rPr>
          <w:b/>
          <w:bCs/>
          <w:sz w:val="24"/>
          <w:szCs w:val="24"/>
        </w:rPr>
        <w:t xml:space="preserve">Data Governance: </w:t>
      </w:r>
      <w:r>
        <w:rPr>
          <w:sz w:val="24"/>
          <w:szCs w:val="24"/>
        </w:rPr>
        <w:t>Data Governance Frameworks | Data Ownership Frameworks | Governance by Design | Policy and Standards Development | Data Stewardship | Data Accountability | Governance Roadmap Delivery | DAMA-DMBOK</w:t>
      </w:r>
    </w:p>
    <w:p w14:paraId="4586DF4B" w14:textId="77777777" w:rsidR="009945E2" w:rsidRDefault="00F43DBB">
      <w:pPr>
        <w:keepNext/>
        <w:spacing w:after="80"/>
      </w:pPr>
      <w:r>
        <w:rPr>
          <w:b/>
          <w:bCs/>
          <w:sz w:val="24"/>
          <w:szCs w:val="24"/>
        </w:rPr>
        <w:t xml:space="preserve">AI Governance: </w:t>
      </w:r>
      <w:r>
        <w:rPr>
          <w:sz w:val="24"/>
          <w:szCs w:val="24"/>
        </w:rPr>
        <w:t>Responsible AI | EU AI Act Controls | AI Use-Case Inventory | AI Risk Classification | AI Tool Access Governance (MCP Gateway) | DLP Controls for LLMs</w:t>
      </w:r>
    </w:p>
    <w:p w14:paraId="2921864E" w14:textId="77777777" w:rsidR="009945E2" w:rsidRDefault="00F43DBB">
      <w:pPr>
        <w:keepNext/>
        <w:spacing w:after="80"/>
      </w:pPr>
      <w:r>
        <w:rPr>
          <w:b/>
          <w:bCs/>
          <w:sz w:val="24"/>
          <w:szCs w:val="24"/>
        </w:rPr>
        <w:t xml:space="preserve">Data Quality: </w:t>
      </w:r>
      <w:r>
        <w:rPr>
          <w:sz w:val="24"/>
          <w:szCs w:val="24"/>
        </w:rPr>
        <w:t>Data Profiling | Data Quality Rules and Validation | Root-Cause Analysis | Issue Identification and Resolution | Data Cleansing and Standardisation | Quality Scorecards and KPIs</w:t>
      </w:r>
    </w:p>
    <w:p w14:paraId="062A291E" w14:textId="77777777" w:rsidR="009945E2" w:rsidRDefault="00F43DBB">
      <w:pPr>
        <w:keepNext/>
        <w:spacing w:after="80"/>
      </w:pPr>
      <w:r>
        <w:rPr>
          <w:b/>
          <w:bCs/>
          <w:sz w:val="24"/>
          <w:szCs w:val="24"/>
        </w:rPr>
        <w:t xml:space="preserve">Information Governance: </w:t>
      </w:r>
      <w:r>
        <w:rPr>
          <w:sz w:val="24"/>
          <w:szCs w:val="24"/>
        </w:rPr>
        <w:t>Information Classification | Retention and Disposal | Records Management | GDPR | Data Protection Act 2018 | Regulatory Compliance | Audit Readiness</w:t>
      </w:r>
    </w:p>
    <w:p w14:paraId="1A782204" w14:textId="77777777" w:rsidR="009945E2" w:rsidRDefault="00F43DBB">
      <w:pPr>
        <w:keepNext/>
        <w:spacing w:after="80"/>
      </w:pPr>
      <w:r>
        <w:rPr>
          <w:b/>
          <w:bCs/>
          <w:sz w:val="24"/>
          <w:szCs w:val="24"/>
        </w:rPr>
        <w:t xml:space="preserve">Master and Reference Data: </w:t>
      </w:r>
      <w:r>
        <w:rPr>
          <w:sz w:val="24"/>
          <w:szCs w:val="24"/>
        </w:rPr>
        <w:t>Master Data Management | Reference Data Management | Data Lineage | Data Cataloguing | Business Glossaries | Metadata Management | Enterprise Data Dictionaries</w:t>
      </w:r>
    </w:p>
    <w:p w14:paraId="0DBDBD30" w14:textId="77777777" w:rsidR="009945E2" w:rsidRDefault="00F43DBB">
      <w:pPr>
        <w:keepNext/>
        <w:spacing w:after="80"/>
      </w:pPr>
      <w:r>
        <w:rPr>
          <w:b/>
          <w:bCs/>
          <w:sz w:val="24"/>
          <w:szCs w:val="24"/>
        </w:rPr>
        <w:t xml:space="preserve">Technical: </w:t>
      </w:r>
      <w:r>
        <w:rPr>
          <w:sz w:val="24"/>
          <w:szCs w:val="24"/>
        </w:rPr>
        <w:t>SQL | Microsoft Purview (incl. DLP) | Collibra | Power BI | Microsoft Fabric | Azure | SAP FI | SAP Master Data | Jira | Excel | Working knowledge: Alation, Atlan, Informatica</w:t>
      </w:r>
    </w:p>
    <w:p w14:paraId="430F83B9" w14:textId="77777777" w:rsidR="009945E2" w:rsidRDefault="00F43DBB">
      <w:pPr>
        <w:keepNext/>
        <w:spacing w:after="80"/>
      </w:pPr>
      <w:r>
        <w:rPr>
          <w:b/>
          <w:bCs/>
          <w:sz w:val="24"/>
          <w:szCs w:val="24"/>
        </w:rPr>
        <w:t xml:space="preserve">Frameworks: </w:t>
      </w:r>
      <w:r>
        <w:rPr>
          <w:sz w:val="24"/>
          <w:szCs w:val="24"/>
        </w:rPr>
        <w:t>DAMA-DMBOK | GDPR | Data Protection Act 2018 | EU AI Act | ISO/IEC 42001 | BCBS 239 | ISO 8000 | Agile</w:t>
      </w:r>
    </w:p>
    <w:p w14:paraId="453D2D45" w14:textId="77777777" w:rsidR="009945E2" w:rsidRDefault="00F43DBB">
      <w:pPr>
        <w:keepNext/>
        <w:pBdr>
          <w:bottom w:val="single" w:sz="6" w:space="2" w:color="1F3864"/>
        </w:pBdr>
        <w:spacing w:before="220" w:after="90"/>
      </w:pPr>
      <w:r>
        <w:rPr>
          <w:b/>
          <w:bCs/>
          <w:color w:val="1F3864"/>
          <w:sz w:val="24"/>
          <w:szCs w:val="24"/>
        </w:rPr>
        <w:t>PROFESSIONAL EXPERIENCE</w:t>
      </w:r>
    </w:p>
    <w:p w14:paraId="56FE7A78" w14:textId="77777777" w:rsidR="009945E2" w:rsidRDefault="00F43DBB">
      <w:pPr>
        <w:keepNext/>
        <w:tabs>
          <w:tab w:val="right" w:pos="9360"/>
        </w:tabs>
        <w:spacing w:before="90" w:after="20"/>
      </w:pPr>
      <w:r>
        <w:rPr>
          <w:b/>
          <w:bCs/>
          <w:color w:val="1F3864"/>
          <w:sz w:val="24"/>
          <w:szCs w:val="24"/>
        </w:rPr>
        <w:t>Data &amp; AI Governance Lead (Contract)</w:t>
      </w:r>
      <w:r>
        <w:rPr>
          <w:b/>
          <w:bCs/>
          <w:color w:val="1F3864"/>
          <w:sz w:val="24"/>
          <w:szCs w:val="24"/>
        </w:rPr>
        <w:tab/>
        <w:t>June 2026 – present</w:t>
      </w:r>
    </w:p>
    <w:p w14:paraId="7BAD3597" w14:textId="77777777" w:rsidR="009945E2" w:rsidRDefault="00F43DBB">
      <w:pPr>
        <w:keepNext/>
        <w:spacing w:after="60"/>
      </w:pPr>
      <w:r>
        <w:rPr>
          <w:i/>
          <w:iCs/>
          <w:color w:val="777777"/>
          <w:sz w:val="24"/>
          <w:szCs w:val="24"/>
        </w:rPr>
        <w:t>Decision Inc UK, London, UK</w:t>
      </w:r>
    </w:p>
    <w:p w14:paraId="3EEDE68E" w14:textId="77777777" w:rsidR="009945E2" w:rsidRDefault="00F43DBB">
      <w:pPr>
        <w:pStyle w:val="ListParagraph"/>
        <w:numPr>
          <w:ilvl w:val="0"/>
          <w:numId w:val="2"/>
        </w:numPr>
        <w:spacing w:after="10"/>
      </w:pPr>
      <w:r>
        <w:rPr>
          <w:sz w:val="24"/>
          <w:szCs w:val="24"/>
        </w:rPr>
        <w:t>Built a client's data and AI governance function from the ground up, securing executive sponsorship and stakeholder sign-off on the framework, policies, standards and stewardship roles, giving the business an agreed operating model for governing data and AI.</w:t>
      </w:r>
    </w:p>
    <w:p w14:paraId="47B2A370" w14:textId="77777777" w:rsidR="009945E2" w:rsidRDefault="00F43DBB">
      <w:pPr>
        <w:pStyle w:val="ListParagraph"/>
        <w:numPr>
          <w:ilvl w:val="0"/>
          <w:numId w:val="2"/>
        </w:numPr>
        <w:spacing w:after="10"/>
      </w:pPr>
      <w:r>
        <w:rPr>
          <w:sz w:val="24"/>
          <w:szCs w:val="24"/>
        </w:rPr>
        <w:t>Completed a governance and security assessment of the legacy data platform within the first month, identifying risk exposures and control gaps and turning them into a prioritised remediation roadmap that senior stakeholders adopted.</w:t>
      </w:r>
    </w:p>
    <w:p w14:paraId="2B34CEF7" w14:textId="77777777" w:rsidR="009945E2" w:rsidRDefault="00F43DBB">
      <w:pPr>
        <w:pStyle w:val="ListParagraph"/>
        <w:numPr>
          <w:ilvl w:val="0"/>
          <w:numId w:val="2"/>
        </w:numPr>
        <w:spacing w:after="10"/>
      </w:pPr>
      <w:r>
        <w:rPr>
          <w:sz w:val="24"/>
          <w:szCs w:val="24"/>
        </w:rPr>
        <w:t>Implemented Microsoft Purview as the enterprise governance platform and led its organisation-wide rollout across 4 data sources, configuring the data map, catalogue, sensitivity classification and business glossary to create a single source of governed metadata.</w:t>
      </w:r>
    </w:p>
    <w:p w14:paraId="23F493F4" w14:textId="77777777" w:rsidR="009945E2" w:rsidRDefault="00F43DBB">
      <w:pPr>
        <w:pStyle w:val="ListParagraph"/>
        <w:numPr>
          <w:ilvl w:val="0"/>
          <w:numId w:val="2"/>
        </w:numPr>
        <w:spacing w:after="10"/>
      </w:pPr>
      <w:r>
        <w:rPr>
          <w:sz w:val="24"/>
          <w:szCs w:val="24"/>
        </w:rPr>
        <w:t>Embedded governance by design across the analytics estate, working with the analytics team to extend controls into data platforms, warehouses and pipelines so governance is built in from the start rather than added afterwards.</w:t>
      </w:r>
    </w:p>
    <w:p w14:paraId="78DCB049" w14:textId="77777777" w:rsidR="009945E2" w:rsidRDefault="00F43DBB">
      <w:pPr>
        <w:pStyle w:val="ListParagraph"/>
        <w:numPr>
          <w:ilvl w:val="0"/>
          <w:numId w:val="2"/>
        </w:numPr>
        <w:spacing w:after="10"/>
      </w:pPr>
      <w:r>
        <w:rPr>
          <w:sz w:val="24"/>
          <w:szCs w:val="24"/>
        </w:rPr>
        <w:lastRenderedPageBreak/>
        <w:t>Authored an enterprise-wide, federated data ownership framework for an organisation grown largely through acquisition, working with the business to map how data is really used and agreeing owners and regional stewards across 12 business domains.</w:t>
      </w:r>
    </w:p>
    <w:p w14:paraId="62311849" w14:textId="77777777" w:rsidR="009945E2" w:rsidRDefault="00F43DBB">
      <w:pPr>
        <w:pStyle w:val="ListParagraph"/>
        <w:numPr>
          <w:ilvl w:val="0"/>
          <w:numId w:val="2"/>
        </w:numPr>
        <w:spacing w:after="10"/>
      </w:pPr>
      <w:r>
        <w:rPr>
          <w:sz w:val="24"/>
          <w:szCs w:val="24"/>
        </w:rPr>
        <w:t>Proposed and supervised the build of an MCP server gateway governing Claude, Copilot and ChatGPT, reprofiling 8,000+ users by how critical AI is to their work and granting role-based access that controls who uses each tool, for what purpose and for how long.</w:t>
      </w:r>
    </w:p>
    <w:p w14:paraId="107D92C5" w14:textId="77777777" w:rsidR="009945E2" w:rsidRDefault="00F43DBB">
      <w:pPr>
        <w:pStyle w:val="ListParagraph"/>
        <w:numPr>
          <w:ilvl w:val="0"/>
          <w:numId w:val="2"/>
        </w:numPr>
        <w:spacing w:after="10"/>
      </w:pPr>
      <w:r>
        <w:rPr>
          <w:sz w:val="24"/>
          <w:szCs w:val="24"/>
        </w:rPr>
        <w:t>Prevented 100+ data assets classified as Highly Confidential from being processed by AI tools during testing and go-live, by applying Purview data loss prevention (DLP) controls through the gateway.</w:t>
      </w:r>
    </w:p>
    <w:p w14:paraId="3C7458C6" w14:textId="77777777" w:rsidR="009945E2" w:rsidRDefault="00F43DBB">
      <w:pPr>
        <w:pStyle w:val="ListParagraph"/>
        <w:numPr>
          <w:ilvl w:val="0"/>
          <w:numId w:val="2"/>
        </w:numPr>
        <w:spacing w:after="10"/>
      </w:pPr>
      <w:r>
        <w:rPr>
          <w:sz w:val="24"/>
          <w:szCs w:val="24"/>
        </w:rPr>
        <w:t>Turned the EU AI Act into working controls for the parts of the business it affects, establishing an AI use-case inventory, risk classification approach and AI usage policy aligned to ISO/IEC 42001.</w:t>
      </w:r>
    </w:p>
    <w:p w14:paraId="567E692A" w14:textId="77777777" w:rsidR="009945E2" w:rsidRDefault="00F43DBB">
      <w:pPr>
        <w:pStyle w:val="ListParagraph"/>
        <w:numPr>
          <w:ilvl w:val="0"/>
          <w:numId w:val="2"/>
        </w:numPr>
        <w:spacing w:after="10"/>
      </w:pPr>
      <w:r>
        <w:rPr>
          <w:sz w:val="24"/>
          <w:szCs w:val="24"/>
        </w:rPr>
        <w:t>Drove governance adoption through data steward onboarding, training and executive engagement, tracking progress against defined governance KPIs.</w:t>
      </w:r>
    </w:p>
    <w:p w14:paraId="4563C6A6" w14:textId="2E82D94E" w:rsidR="009945E2" w:rsidRDefault="00F43DBB">
      <w:pPr>
        <w:keepNext/>
        <w:tabs>
          <w:tab w:val="right" w:pos="9360"/>
        </w:tabs>
        <w:spacing w:before="90" w:after="20"/>
      </w:pPr>
      <w:r>
        <w:rPr>
          <w:b/>
          <w:bCs/>
          <w:color w:val="1F3864"/>
          <w:sz w:val="24"/>
          <w:szCs w:val="24"/>
        </w:rPr>
        <w:t>Data Management Analyst (Contract)</w:t>
      </w:r>
      <w:r>
        <w:rPr>
          <w:b/>
          <w:bCs/>
          <w:color w:val="1F3864"/>
          <w:sz w:val="24"/>
          <w:szCs w:val="24"/>
        </w:rPr>
        <w:tab/>
        <w:t>April 2025 – November 2025</w:t>
      </w:r>
    </w:p>
    <w:p w14:paraId="1FC897F6" w14:textId="77777777" w:rsidR="009945E2" w:rsidRDefault="00F43DBB">
      <w:pPr>
        <w:keepNext/>
        <w:spacing w:after="60"/>
      </w:pPr>
      <w:r>
        <w:rPr>
          <w:i/>
          <w:iCs/>
          <w:color w:val="777777"/>
          <w:sz w:val="24"/>
          <w:szCs w:val="24"/>
        </w:rPr>
        <w:t>Berkeley Data Strategist, London, UK</w:t>
      </w:r>
    </w:p>
    <w:p w14:paraId="6D7A810C" w14:textId="77777777" w:rsidR="009945E2" w:rsidRDefault="00F43DBB">
      <w:pPr>
        <w:pStyle w:val="ListParagraph"/>
        <w:numPr>
          <w:ilvl w:val="0"/>
          <w:numId w:val="2"/>
        </w:numPr>
        <w:spacing w:after="10"/>
      </w:pPr>
      <w:r>
        <w:rPr>
          <w:sz w:val="24"/>
          <w:szCs w:val="24"/>
        </w:rPr>
        <w:t>Revised a reported active subscriber base of 20 million to a true active, non-duplicate count of 14.2 million, a 29% reduction that directly and materially affected the acquisition valuation of a telecoms operator changing ownership.</w:t>
      </w:r>
    </w:p>
    <w:p w14:paraId="0FB58A8B" w14:textId="77777777" w:rsidR="009945E2" w:rsidRDefault="00F43DBB">
      <w:pPr>
        <w:pStyle w:val="ListParagraph"/>
        <w:numPr>
          <w:ilvl w:val="0"/>
          <w:numId w:val="2"/>
        </w:numPr>
        <w:spacing w:after="10"/>
      </w:pPr>
      <w:r>
        <w:rPr>
          <w:sz w:val="24"/>
          <w:szCs w:val="24"/>
        </w:rPr>
        <w:t>Profiled and cleansed over 4 million subscriber records as part of a six-person team auditing approximately 21.8 million gross records, identifying 1.8 million confirmed duplicate accounts, 9% of the total subscriber base.</w:t>
      </w:r>
    </w:p>
    <w:p w14:paraId="4290C09A" w14:textId="77777777" w:rsidR="009945E2" w:rsidRDefault="00F43DBB">
      <w:pPr>
        <w:pStyle w:val="ListParagraph"/>
        <w:numPr>
          <w:ilvl w:val="0"/>
          <w:numId w:val="2"/>
        </w:numPr>
        <w:spacing w:after="10"/>
      </w:pPr>
      <w:r>
        <w:rPr>
          <w:sz w:val="24"/>
          <w:szCs w:val="24"/>
        </w:rPr>
        <w:t>Designed and executed data quality testing routines and validation frameworks across multiple enterprise platforms, identifying control gaps and producing governance reports with prioritised remediation recommendations.</w:t>
      </w:r>
    </w:p>
    <w:p w14:paraId="4639A013" w14:textId="77777777" w:rsidR="009945E2" w:rsidRDefault="00F43DBB">
      <w:pPr>
        <w:pStyle w:val="ListParagraph"/>
        <w:numPr>
          <w:ilvl w:val="0"/>
          <w:numId w:val="2"/>
        </w:numPr>
        <w:spacing w:after="10"/>
      </w:pPr>
      <w:r>
        <w:rPr>
          <w:sz w:val="24"/>
          <w:szCs w:val="24"/>
        </w:rPr>
        <w:t>Developed enterprise data dictionaries and business glossaries aligned to DAMA-DMBOK, standardising master data definitions and metadata across business units to improve downstream reporting accuracy.</w:t>
      </w:r>
    </w:p>
    <w:p w14:paraId="2BBEC15C" w14:textId="77777777" w:rsidR="009945E2" w:rsidRDefault="00F43DBB">
      <w:pPr>
        <w:pStyle w:val="ListParagraph"/>
        <w:numPr>
          <w:ilvl w:val="0"/>
          <w:numId w:val="2"/>
        </w:numPr>
        <w:spacing w:after="10"/>
      </w:pPr>
      <w:r>
        <w:rPr>
          <w:sz w:val="24"/>
          <w:szCs w:val="24"/>
        </w:rPr>
        <w:t>Built data quality scorecards and KPIs to monitor control effectiveness, giving senior stakeholders ongoing visibility of data integrity across the organisation.</w:t>
      </w:r>
    </w:p>
    <w:p w14:paraId="500CB2B3" w14:textId="77777777" w:rsidR="009945E2" w:rsidRDefault="00F43DBB">
      <w:pPr>
        <w:keepNext/>
        <w:tabs>
          <w:tab w:val="right" w:pos="9360"/>
        </w:tabs>
        <w:spacing w:before="90" w:after="20"/>
      </w:pPr>
      <w:r>
        <w:rPr>
          <w:b/>
          <w:bCs/>
          <w:color w:val="1F3864"/>
          <w:sz w:val="24"/>
          <w:szCs w:val="24"/>
        </w:rPr>
        <w:t>Associate Data Steward</w:t>
      </w:r>
      <w:r>
        <w:rPr>
          <w:b/>
          <w:bCs/>
          <w:color w:val="1F3864"/>
          <w:sz w:val="24"/>
          <w:szCs w:val="24"/>
        </w:rPr>
        <w:tab/>
        <w:t>February 2024 – January 2025</w:t>
      </w:r>
    </w:p>
    <w:p w14:paraId="1230536C" w14:textId="77777777" w:rsidR="009945E2" w:rsidRDefault="00F43DBB">
      <w:pPr>
        <w:keepNext/>
        <w:spacing w:after="60"/>
      </w:pPr>
      <w:r>
        <w:rPr>
          <w:i/>
          <w:iCs/>
          <w:color w:val="777777"/>
          <w:sz w:val="24"/>
          <w:szCs w:val="24"/>
        </w:rPr>
        <w:t>Guaranty Trust Bank (GTCO Plc), Lagos, Nigeria</w:t>
      </w:r>
    </w:p>
    <w:p w14:paraId="62FD1A44" w14:textId="77777777" w:rsidR="009945E2" w:rsidRDefault="00F43DBB">
      <w:pPr>
        <w:pStyle w:val="ListParagraph"/>
        <w:numPr>
          <w:ilvl w:val="0"/>
          <w:numId w:val="2"/>
        </w:numPr>
        <w:spacing w:after="10"/>
      </w:pPr>
      <w:r>
        <w:rPr>
          <w:sz w:val="24"/>
          <w:szCs w:val="24"/>
        </w:rPr>
        <w:t>Governed data quality and integrity across 5+ enterprise systems within a regional portfolio of 3.9 million customer records spanning 52 branches, reducing monthly data quality issues from an average of 15 to 8 through structured profiling, quality rules enforcement, and root-cause analysis.</w:t>
      </w:r>
    </w:p>
    <w:p w14:paraId="22E5A036" w14:textId="77777777" w:rsidR="009945E2" w:rsidRDefault="00F43DBB">
      <w:pPr>
        <w:pStyle w:val="ListParagraph"/>
        <w:numPr>
          <w:ilvl w:val="0"/>
          <w:numId w:val="2"/>
        </w:numPr>
        <w:spacing w:after="10"/>
      </w:pPr>
      <w:r>
        <w:rPr>
          <w:sz w:val="24"/>
          <w:szCs w:val="24"/>
        </w:rPr>
        <w:t>Assessed 7,000 customer accounts for migration readiness from the legacy Basis core banking system to Infosys Finacle; 2,000+ required full re-profiling due to data quality issues that could not be resolved through automated cleansing alone.</w:t>
      </w:r>
    </w:p>
    <w:p w14:paraId="5E3FF49B" w14:textId="77777777" w:rsidR="009945E2" w:rsidRDefault="00F43DBB">
      <w:pPr>
        <w:pStyle w:val="ListParagraph"/>
        <w:numPr>
          <w:ilvl w:val="0"/>
          <w:numId w:val="2"/>
        </w:numPr>
        <w:spacing w:after="10"/>
      </w:pPr>
      <w:r>
        <w:rPr>
          <w:sz w:val="24"/>
          <w:szCs w:val="24"/>
        </w:rPr>
        <w:t>Identified a structural identity gap in 63% of corporate accounts in scope, captured under Basis by CAC registration number only, without the associated identity validation data required by Finacle. Gap was fully remediated before go-live, preventing post-migration reconciliation failures.</w:t>
      </w:r>
    </w:p>
    <w:p w14:paraId="5697D8F7" w14:textId="77777777" w:rsidR="009945E2" w:rsidRDefault="00F43DBB">
      <w:pPr>
        <w:pStyle w:val="ListParagraph"/>
        <w:numPr>
          <w:ilvl w:val="0"/>
          <w:numId w:val="2"/>
        </w:numPr>
        <w:spacing w:after="10"/>
      </w:pPr>
      <w:r>
        <w:rPr>
          <w:sz w:val="24"/>
          <w:szCs w:val="24"/>
        </w:rPr>
        <w:t>Contributed to the consolidation of over 100,000 duplicate accounts into single Customer Information Files across the regional portfolio, managing escalation of ambiguous cases to account managers and the AML and compliance desk.</w:t>
      </w:r>
    </w:p>
    <w:p w14:paraId="1A6B62D6" w14:textId="77777777" w:rsidR="009945E2" w:rsidRDefault="00F43DBB">
      <w:pPr>
        <w:pStyle w:val="ListParagraph"/>
        <w:numPr>
          <w:ilvl w:val="0"/>
          <w:numId w:val="2"/>
        </w:numPr>
        <w:spacing w:after="10"/>
      </w:pPr>
      <w:r>
        <w:rPr>
          <w:sz w:val="24"/>
          <w:szCs w:val="24"/>
        </w:rPr>
        <w:t>Delivered an NIN and BVN linkage programme that raised coverage from 9% over the preceding 12 months to 33% within 60 days, achieving in two months what the prior approach had produced in a year.</w:t>
      </w:r>
    </w:p>
    <w:p w14:paraId="24BB5CD2" w14:textId="77777777" w:rsidR="009945E2" w:rsidRDefault="00F43DBB">
      <w:pPr>
        <w:pStyle w:val="ListParagraph"/>
        <w:numPr>
          <w:ilvl w:val="0"/>
          <w:numId w:val="2"/>
        </w:numPr>
        <w:spacing w:after="10"/>
      </w:pPr>
      <w:r>
        <w:rPr>
          <w:sz w:val="24"/>
          <w:szCs w:val="24"/>
        </w:rPr>
        <w:t>Coordinated marketing consent compliance across all 52 branches under NDPA 2023 requirements, achieving over 90% opt-in compliance across the regional customer base.</w:t>
      </w:r>
    </w:p>
    <w:p w14:paraId="42E4BD27" w14:textId="77777777" w:rsidR="009945E2" w:rsidRDefault="00F43DBB">
      <w:pPr>
        <w:pStyle w:val="ListParagraph"/>
        <w:numPr>
          <w:ilvl w:val="0"/>
          <w:numId w:val="2"/>
        </w:numPr>
        <w:spacing w:after="10"/>
      </w:pPr>
      <w:r>
        <w:rPr>
          <w:sz w:val="24"/>
          <w:szCs w:val="24"/>
        </w:rPr>
        <w:t>Formally documented and catalogued 7 datasets within the data catalogue, covering core customer, account, and product data assets, including source, lineage, update frequency, access permissions, and business definitions.</w:t>
      </w:r>
    </w:p>
    <w:p w14:paraId="5C396B57" w14:textId="77777777" w:rsidR="009945E2" w:rsidRDefault="00F43DBB">
      <w:pPr>
        <w:keepNext/>
        <w:tabs>
          <w:tab w:val="right" w:pos="9360"/>
        </w:tabs>
        <w:spacing w:before="90" w:after="20"/>
      </w:pPr>
      <w:r>
        <w:rPr>
          <w:b/>
          <w:bCs/>
          <w:color w:val="1F3864"/>
          <w:sz w:val="24"/>
          <w:szCs w:val="24"/>
        </w:rPr>
        <w:lastRenderedPageBreak/>
        <w:t>Commercial Banking Officer</w:t>
      </w:r>
      <w:r>
        <w:rPr>
          <w:b/>
          <w:bCs/>
          <w:color w:val="1F3864"/>
          <w:sz w:val="24"/>
          <w:szCs w:val="24"/>
        </w:rPr>
        <w:tab/>
        <w:t>November 2022 – February 2024</w:t>
      </w:r>
    </w:p>
    <w:p w14:paraId="21D7D135" w14:textId="77777777" w:rsidR="009945E2" w:rsidRDefault="00F43DBB">
      <w:pPr>
        <w:keepNext/>
        <w:spacing w:after="60"/>
      </w:pPr>
      <w:r>
        <w:rPr>
          <w:i/>
          <w:iCs/>
          <w:color w:val="777777"/>
          <w:sz w:val="24"/>
          <w:szCs w:val="24"/>
        </w:rPr>
        <w:t>Guaranty Trust Bank (GTCO Plc), Lagos, Nigeria</w:t>
      </w:r>
    </w:p>
    <w:p w14:paraId="6F81A79B" w14:textId="77777777" w:rsidR="009945E2" w:rsidRDefault="00F43DBB">
      <w:pPr>
        <w:pStyle w:val="ListParagraph"/>
        <w:numPr>
          <w:ilvl w:val="0"/>
          <w:numId w:val="2"/>
        </w:numPr>
        <w:spacing w:after="10"/>
      </w:pPr>
      <w:r>
        <w:rPr>
          <w:sz w:val="24"/>
          <w:szCs w:val="24"/>
        </w:rPr>
        <w:t>Managed client-facing relationships with corporate and commercial customers across a regional portfolio, supporting relationship managers on credit facilities, overdraft structures, and the full commercial customer lifecycle.</w:t>
      </w:r>
    </w:p>
    <w:p w14:paraId="5C07DED7" w14:textId="77777777" w:rsidR="009945E2" w:rsidRDefault="00F43DBB">
      <w:pPr>
        <w:pStyle w:val="ListParagraph"/>
        <w:numPr>
          <w:ilvl w:val="0"/>
          <w:numId w:val="2"/>
        </w:numPr>
        <w:spacing w:after="10"/>
      </w:pPr>
      <w:r>
        <w:rPr>
          <w:sz w:val="24"/>
          <w:szCs w:val="24"/>
        </w:rPr>
        <w:t>Built working knowledge of banking products, account classification, corporate identity requirements, and how data quality issues manifest in a commercial banking context, directly informing the governance work undertaken in the subsequent data steward role.</w:t>
      </w:r>
    </w:p>
    <w:p w14:paraId="34FCCFEC" w14:textId="42896ABD" w:rsidR="009945E2" w:rsidRDefault="00F43DBB">
      <w:pPr>
        <w:keepNext/>
        <w:tabs>
          <w:tab w:val="right" w:pos="9360"/>
        </w:tabs>
        <w:spacing w:before="90" w:after="20"/>
      </w:pPr>
      <w:r>
        <w:rPr>
          <w:b/>
          <w:bCs/>
          <w:color w:val="1F3864"/>
          <w:sz w:val="24"/>
          <w:szCs w:val="24"/>
        </w:rPr>
        <w:t>Data Analyst</w:t>
      </w:r>
      <w:r>
        <w:rPr>
          <w:b/>
          <w:bCs/>
          <w:color w:val="1F3864"/>
          <w:sz w:val="24"/>
          <w:szCs w:val="24"/>
        </w:rPr>
        <w:tab/>
        <w:t>February 2021 – October 2022</w:t>
      </w:r>
    </w:p>
    <w:p w14:paraId="61C16733" w14:textId="77777777" w:rsidR="009945E2" w:rsidRDefault="00F43DBB">
      <w:pPr>
        <w:keepNext/>
        <w:spacing w:after="60"/>
      </w:pPr>
      <w:r>
        <w:rPr>
          <w:i/>
          <w:iCs/>
          <w:color w:val="777777"/>
          <w:sz w:val="24"/>
          <w:szCs w:val="24"/>
        </w:rPr>
        <w:t>Living Faith Worldwide, Lagos, Nigeria</w:t>
      </w:r>
    </w:p>
    <w:p w14:paraId="53A100E5" w14:textId="77777777" w:rsidR="009945E2" w:rsidRDefault="00F43DBB">
      <w:pPr>
        <w:pStyle w:val="ListParagraph"/>
        <w:numPr>
          <w:ilvl w:val="0"/>
          <w:numId w:val="2"/>
        </w:numPr>
        <w:spacing w:after="10"/>
      </w:pPr>
      <w:r>
        <w:rPr>
          <w:sz w:val="24"/>
          <w:szCs w:val="24"/>
        </w:rPr>
        <w:t>Managed data quality assurance and information lifecycle governance for a digital portal supporting 6,000+ staff across 7 districts and 182 branches, implementing classification, retention, and validation controls.</w:t>
      </w:r>
    </w:p>
    <w:p w14:paraId="62AC2436" w14:textId="77777777" w:rsidR="009945E2" w:rsidRDefault="00F43DBB">
      <w:pPr>
        <w:pStyle w:val="ListParagraph"/>
        <w:numPr>
          <w:ilvl w:val="0"/>
          <w:numId w:val="2"/>
        </w:numPr>
        <w:spacing w:after="10"/>
      </w:pPr>
      <w:r>
        <w:rPr>
          <w:sz w:val="24"/>
          <w:szCs w:val="24"/>
        </w:rPr>
        <w:t>Identified and resolved data inconsistencies in payroll master data, removing errors that had caused 22% excess spend in personnel costs over the three months prior to the review.</w:t>
      </w:r>
    </w:p>
    <w:p w14:paraId="00F60F5A" w14:textId="77777777" w:rsidR="009945E2" w:rsidRDefault="00F43DBB">
      <w:pPr>
        <w:pStyle w:val="ListParagraph"/>
        <w:numPr>
          <w:ilvl w:val="0"/>
          <w:numId w:val="2"/>
        </w:numPr>
        <w:spacing w:after="10"/>
      </w:pPr>
      <w:r>
        <w:rPr>
          <w:sz w:val="24"/>
          <w:szCs w:val="24"/>
        </w:rPr>
        <w:t>Migrated and standardised records for 900+ staff into a centralised employee data repository, enabling accurate workforce analytics, data lineage tracking, and performance reporting for senior management.</w:t>
      </w:r>
    </w:p>
    <w:p w14:paraId="7AB79A1A" w14:textId="77777777" w:rsidR="009945E2" w:rsidRDefault="00F43DBB">
      <w:pPr>
        <w:keepNext/>
        <w:pBdr>
          <w:bottom w:val="single" w:sz="6" w:space="2" w:color="1F3864"/>
        </w:pBdr>
        <w:spacing w:before="220" w:after="90"/>
      </w:pPr>
      <w:r>
        <w:rPr>
          <w:b/>
          <w:bCs/>
          <w:color w:val="1F3864"/>
          <w:sz w:val="24"/>
          <w:szCs w:val="24"/>
        </w:rPr>
        <w:t>EDUCATION</w:t>
      </w:r>
    </w:p>
    <w:p w14:paraId="709FD04E" w14:textId="77777777" w:rsidR="009945E2" w:rsidRDefault="00F43DBB">
      <w:pPr>
        <w:keepNext/>
        <w:tabs>
          <w:tab w:val="right" w:pos="9360"/>
        </w:tabs>
        <w:spacing w:before="90" w:after="20"/>
      </w:pPr>
      <w:r>
        <w:rPr>
          <w:b/>
          <w:bCs/>
          <w:color w:val="1F3864"/>
          <w:sz w:val="24"/>
          <w:szCs w:val="24"/>
        </w:rPr>
        <w:t>MSc Management, Distinction</w:t>
      </w:r>
      <w:r>
        <w:rPr>
          <w:b/>
          <w:bCs/>
          <w:color w:val="1F3864"/>
          <w:sz w:val="24"/>
          <w:szCs w:val="24"/>
        </w:rPr>
        <w:tab/>
        <w:t>January 2025 – March 2026</w:t>
      </w:r>
    </w:p>
    <w:p w14:paraId="3E072544" w14:textId="77777777" w:rsidR="009945E2" w:rsidRDefault="00F43DBB">
      <w:pPr>
        <w:keepNext/>
        <w:spacing w:after="60"/>
      </w:pPr>
      <w:r>
        <w:rPr>
          <w:i/>
          <w:iCs/>
          <w:color w:val="777777"/>
          <w:sz w:val="24"/>
          <w:szCs w:val="24"/>
        </w:rPr>
        <w:t>University of Derby, UK</w:t>
      </w:r>
    </w:p>
    <w:p w14:paraId="332D6EF5" w14:textId="77777777" w:rsidR="009945E2" w:rsidRDefault="00F43DBB">
      <w:pPr>
        <w:keepNext/>
        <w:tabs>
          <w:tab w:val="right" w:pos="9360"/>
        </w:tabs>
        <w:spacing w:before="90" w:after="20"/>
      </w:pPr>
      <w:r>
        <w:rPr>
          <w:b/>
          <w:bCs/>
          <w:color w:val="1F3864"/>
          <w:sz w:val="24"/>
          <w:szCs w:val="24"/>
        </w:rPr>
        <w:t>BSc Political Science</w:t>
      </w:r>
      <w:r>
        <w:rPr>
          <w:b/>
          <w:bCs/>
          <w:color w:val="1F3864"/>
          <w:sz w:val="24"/>
          <w:szCs w:val="24"/>
        </w:rPr>
        <w:tab/>
        <w:t>February 2016 – March 2021</w:t>
      </w:r>
    </w:p>
    <w:p w14:paraId="71066AE4" w14:textId="77777777" w:rsidR="009945E2" w:rsidRDefault="00F43DBB">
      <w:pPr>
        <w:keepNext/>
        <w:spacing w:after="60"/>
      </w:pPr>
      <w:r>
        <w:rPr>
          <w:i/>
          <w:iCs/>
          <w:color w:val="777777"/>
          <w:sz w:val="24"/>
          <w:szCs w:val="24"/>
        </w:rPr>
        <w:t>University of Calabar, Nigeria</w:t>
      </w:r>
    </w:p>
    <w:p w14:paraId="1E3FAE62" w14:textId="77777777" w:rsidR="009945E2" w:rsidRDefault="00F43DBB">
      <w:pPr>
        <w:keepNext/>
        <w:pBdr>
          <w:bottom w:val="single" w:sz="6" w:space="2" w:color="1F3864"/>
        </w:pBdr>
        <w:spacing w:before="220" w:after="90"/>
      </w:pPr>
      <w:r>
        <w:rPr>
          <w:b/>
          <w:bCs/>
          <w:color w:val="1F3864"/>
          <w:sz w:val="24"/>
          <w:szCs w:val="24"/>
        </w:rPr>
        <w:t>CERTIFICATIONS AND PROFESSIONAL DEVELOPMENT</w:t>
      </w:r>
    </w:p>
    <w:p w14:paraId="0C119B54" w14:textId="7AB8F41E" w:rsidR="009945E2" w:rsidRDefault="00F43DBB">
      <w:pPr>
        <w:pStyle w:val="ListParagraph"/>
        <w:numPr>
          <w:ilvl w:val="0"/>
          <w:numId w:val="2"/>
        </w:numPr>
        <w:spacing w:after="10"/>
      </w:pPr>
      <w:r>
        <w:rPr>
          <w:sz w:val="24"/>
          <w:szCs w:val="24"/>
        </w:rPr>
        <w:t xml:space="preserve">CDMP, Certified Data Management Professional (in progress) | Expected </w:t>
      </w:r>
      <w:r w:rsidR="00FF0B6F">
        <w:rPr>
          <w:sz w:val="24"/>
          <w:szCs w:val="24"/>
        </w:rPr>
        <w:t>November</w:t>
      </w:r>
      <w:r>
        <w:rPr>
          <w:sz w:val="24"/>
          <w:szCs w:val="24"/>
        </w:rPr>
        <w:t xml:space="preserve"> 2026</w:t>
      </w:r>
    </w:p>
    <w:p>
      <w:pPr>
        <w:pStyle w:val="ListParagraph"/>
        <w:numPr>
          <w:ilvl w:val="0"/>
          <w:numId w:val="2"/>
        </w:numPr>
        <w:spacing w:after="10"/>
      </w:pPr>
      <w:r>
        <w:rPr>
          <w:sz w:val="24"/>
          <w:szCs w:val="24"/>
        </w:rPr>
        <w:t xml:space="preserve">DCAM, Data Management Capability Assessment Model, EDM Council (in progress) | Expected January 2027</w:t>
      </w:r>
    </w:p>
    <w:p w14:paraId="1A80A20F" w14:textId="77777777" w:rsidR="009945E2" w:rsidRDefault="00F43DBB">
      <w:pPr>
        <w:pStyle w:val="ListParagraph"/>
        <w:numPr>
          <w:ilvl w:val="0"/>
          <w:numId w:val="2"/>
        </w:numPr>
        <w:spacing w:after="10"/>
      </w:pPr>
      <w:r>
        <w:rPr>
          <w:sz w:val="24"/>
          <w:szCs w:val="24"/>
        </w:rPr>
        <w:t>CPD Data Management Certification | June 2025</w:t>
      </w:r>
    </w:p>
    <w:p w14:paraId="53D5EA4C" w14:textId="77777777" w:rsidR="009945E2" w:rsidRDefault="00F43DBB">
      <w:pPr>
        <w:pStyle w:val="ListParagraph"/>
        <w:numPr>
          <w:ilvl w:val="0"/>
          <w:numId w:val="2"/>
        </w:numPr>
        <w:spacing w:after="10"/>
      </w:pPr>
      <w:r>
        <w:rPr>
          <w:sz w:val="24"/>
          <w:szCs w:val="24"/>
        </w:rPr>
        <w:t>ALX Data Analyst Programme | October 2023 – September 2024</w:t>
      </w:r>
    </w:p>
    <w:p w14:paraId="508A3F13" w14:textId="77777777" w:rsidR="009945E2" w:rsidRDefault="00F43DBB">
      <w:pPr>
        <w:pStyle w:val="ListParagraph"/>
        <w:numPr>
          <w:ilvl w:val="0"/>
          <w:numId w:val="2"/>
        </w:numPr>
        <w:spacing w:after="10"/>
      </w:pPr>
      <w:r>
        <w:rPr>
          <w:sz w:val="24"/>
          <w:szCs w:val="24"/>
        </w:rPr>
        <w:t>Google Professional Data Analyst Certification | January – May 2023</w:t>
      </w:r>
    </w:p>
    <w:p w14:paraId="62A29118" w14:textId="77777777" w:rsidR="009945E2" w:rsidRDefault="00F43DBB">
      <w:pPr>
        <w:keepNext/>
        <w:pBdr>
          <w:bottom w:val="single" w:sz="6" w:space="2" w:color="1F3864"/>
        </w:pBdr>
        <w:spacing w:before="220" w:after="90"/>
      </w:pPr>
      <w:r>
        <w:rPr>
          <w:b/>
          <w:bCs/>
          <w:color w:val="1F3864"/>
          <w:sz w:val="24"/>
          <w:szCs w:val="24"/>
        </w:rPr>
        <w:t>ADDITIONAL INFORMATION</w:t>
      </w:r>
    </w:p>
    <w:p w14:paraId="11A533B7" w14:textId="6CE849C6" w:rsidR="009945E2" w:rsidRDefault="00F43DBB">
      <w:pPr>
        <w:spacing w:after="120"/>
      </w:pPr>
      <w:r>
        <w:rPr>
          <w:sz w:val="24"/>
          <w:szCs w:val="24"/>
        </w:rPr>
        <w:t>References available on request.</w:t>
      </w:r>
    </w:p>
    <w:sectPr w:rsidR="009945E2">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509"/>
    <w:multiLevelType w:val="hybridMultilevel"/>
    <w:tmpl w:val="1FE022BE"/>
    <w:lvl w:ilvl="0" w:tplc="558A04B6">
      <w:start w:val="1"/>
      <w:numFmt w:val="bullet"/>
      <w:lvlText w:val="•"/>
      <w:lvlJc w:val="left"/>
      <w:pPr>
        <w:ind w:left="540" w:hanging="300"/>
      </w:pPr>
    </w:lvl>
    <w:lvl w:ilvl="1" w:tplc="01764C8E">
      <w:numFmt w:val="decimal"/>
      <w:lvlText w:val=""/>
      <w:lvlJc w:val="left"/>
    </w:lvl>
    <w:lvl w:ilvl="2" w:tplc="5B205462">
      <w:numFmt w:val="decimal"/>
      <w:lvlText w:val=""/>
      <w:lvlJc w:val="left"/>
    </w:lvl>
    <w:lvl w:ilvl="3" w:tplc="BA96AB06">
      <w:numFmt w:val="decimal"/>
      <w:lvlText w:val=""/>
      <w:lvlJc w:val="left"/>
    </w:lvl>
    <w:lvl w:ilvl="4" w:tplc="B5C2762C">
      <w:numFmt w:val="decimal"/>
      <w:lvlText w:val=""/>
      <w:lvlJc w:val="left"/>
    </w:lvl>
    <w:lvl w:ilvl="5" w:tplc="01BAB3FC">
      <w:numFmt w:val="decimal"/>
      <w:lvlText w:val=""/>
      <w:lvlJc w:val="left"/>
    </w:lvl>
    <w:lvl w:ilvl="6" w:tplc="464C5286">
      <w:numFmt w:val="decimal"/>
      <w:lvlText w:val=""/>
      <w:lvlJc w:val="left"/>
    </w:lvl>
    <w:lvl w:ilvl="7" w:tplc="42ECA648">
      <w:numFmt w:val="decimal"/>
      <w:lvlText w:val=""/>
      <w:lvlJc w:val="left"/>
    </w:lvl>
    <w:lvl w:ilvl="8" w:tplc="B4A24456">
      <w:numFmt w:val="decimal"/>
      <w:lvlText w:val=""/>
      <w:lvlJc w:val="left"/>
    </w:lvl>
  </w:abstractNum>
  <w:abstractNum w:abstractNumId="1" w15:restartNumberingAfterBreak="0">
    <w:nsid w:val="1CB21015"/>
    <w:multiLevelType w:val="hybridMultilevel"/>
    <w:tmpl w:val="731203C6"/>
    <w:lvl w:ilvl="0" w:tplc="2BAE0D20">
      <w:start w:val="1"/>
      <w:numFmt w:val="bullet"/>
      <w:lvlText w:val="●"/>
      <w:lvlJc w:val="left"/>
      <w:pPr>
        <w:ind w:left="720" w:hanging="360"/>
      </w:pPr>
    </w:lvl>
    <w:lvl w:ilvl="1" w:tplc="09E641CE">
      <w:start w:val="1"/>
      <w:numFmt w:val="bullet"/>
      <w:lvlText w:val="○"/>
      <w:lvlJc w:val="left"/>
      <w:pPr>
        <w:ind w:left="1440" w:hanging="360"/>
      </w:pPr>
    </w:lvl>
    <w:lvl w:ilvl="2" w:tplc="F2D2E2C6">
      <w:start w:val="1"/>
      <w:numFmt w:val="bullet"/>
      <w:lvlText w:val="■"/>
      <w:lvlJc w:val="left"/>
      <w:pPr>
        <w:ind w:left="2160" w:hanging="360"/>
      </w:pPr>
    </w:lvl>
    <w:lvl w:ilvl="3" w:tplc="72D03460">
      <w:start w:val="1"/>
      <w:numFmt w:val="bullet"/>
      <w:lvlText w:val="●"/>
      <w:lvlJc w:val="left"/>
      <w:pPr>
        <w:ind w:left="2880" w:hanging="360"/>
      </w:pPr>
    </w:lvl>
    <w:lvl w:ilvl="4" w:tplc="B49408D4">
      <w:start w:val="1"/>
      <w:numFmt w:val="bullet"/>
      <w:lvlText w:val="○"/>
      <w:lvlJc w:val="left"/>
      <w:pPr>
        <w:ind w:left="3600" w:hanging="360"/>
      </w:pPr>
    </w:lvl>
    <w:lvl w:ilvl="5" w:tplc="25B26430">
      <w:start w:val="1"/>
      <w:numFmt w:val="bullet"/>
      <w:lvlText w:val="■"/>
      <w:lvlJc w:val="left"/>
      <w:pPr>
        <w:ind w:left="4320" w:hanging="360"/>
      </w:pPr>
    </w:lvl>
    <w:lvl w:ilvl="6" w:tplc="F02EDB86">
      <w:start w:val="1"/>
      <w:numFmt w:val="bullet"/>
      <w:lvlText w:val="●"/>
      <w:lvlJc w:val="left"/>
      <w:pPr>
        <w:ind w:left="5040" w:hanging="360"/>
      </w:pPr>
    </w:lvl>
    <w:lvl w:ilvl="7" w:tplc="5E30EF38">
      <w:start w:val="1"/>
      <w:numFmt w:val="bullet"/>
      <w:lvlText w:val="●"/>
      <w:lvlJc w:val="left"/>
      <w:pPr>
        <w:ind w:left="5760" w:hanging="360"/>
      </w:pPr>
    </w:lvl>
    <w:lvl w:ilvl="8" w:tplc="B9F0B0BC">
      <w:start w:val="1"/>
      <w:numFmt w:val="bullet"/>
      <w:lvlText w:val="●"/>
      <w:lvlJc w:val="left"/>
      <w:pPr>
        <w:ind w:left="6480" w:hanging="360"/>
      </w:pPr>
    </w:lvl>
  </w:abstractNum>
  <w:num w:numId="1" w16cid:durableId="2141802000">
    <w:abstractNumId w:val="1"/>
    <w:lvlOverride w:ilvl="0">
      <w:startOverride w:val="1"/>
    </w:lvlOverride>
  </w:num>
  <w:num w:numId="2" w16cid:durableId="18838597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5E2"/>
    <w:rsid w:val="003409D7"/>
    <w:rsid w:val="003A704E"/>
    <w:rsid w:val="004026E4"/>
    <w:rsid w:val="00694A4D"/>
    <w:rsid w:val="006D4914"/>
    <w:rsid w:val="00761252"/>
    <w:rsid w:val="00945B56"/>
    <w:rsid w:val="009945E2"/>
    <w:rsid w:val="00D77D5F"/>
    <w:rsid w:val="00F43DBB"/>
    <w:rsid w:val="00F54481"/>
    <w:rsid w:val="00FF0B6F"/>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7E9B5"/>
  <w15:docId w15:val="{4F40E705-FD99-4D4C-A7A6-077BCEA53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ingdataguy-calvin.github.io" TargetMode="External"/><Relationship Id="rId5" Type="http://schemas.openxmlformats.org/officeDocument/2006/relationships/hyperlink" Target="https://www.linkedin.com/in/calvinenob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1402</Words>
  <Characters>7994</Characters>
  <Application>Microsoft Office Word</Application>
  <DocSecurity>0</DocSecurity>
  <Lines>66</Lines>
  <Paragraphs>18</Paragraphs>
  <ScaleCrop>false</ScaleCrop>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Calvin Enobor</dc:creator>
  <cp:lastModifiedBy>Calvin Remijus</cp:lastModifiedBy>
  <cp:revision>2</cp:revision>
  <dcterms:created xsi:type="dcterms:W3CDTF">2026-10-01T12:30:00Z</dcterms:created>
  <dcterms:modified xsi:type="dcterms:W3CDTF">2026-10-01T12:30:00Z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d54b0614-fff9-477b-85c1-d131ba1287c3</vt:lpwstr>
  </property>
</Properties>
</file>