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1a7a3f"/>
          <w:sz w:val="24"/>
          <w:szCs w:val="24"/>
        </w:rPr>
        <w:t xml:space="preserve">PORTFOLIO CASE STUDY</w:t>
      </w:r>
    </w:p>
    <w:p>
      <w:pPr>
        <w:spacing w:before="0" w:after="160"/>
        <w:jc w:val="center"/>
      </w:pPr>
      <w:r>
        <w:rPr>
          <w:rFonts w:ascii="Arial" w:cs="Arial" w:eastAsia="Arial" w:hAnsi="Arial"/>
          <w:b/>
          <w:bCs/>
          <w:color w:val="1a1a2e"/>
          <w:sz w:val="44"/>
          <w:szCs w:val="44"/>
        </w:rPr>
        <w:t xml:space="preserve">Subscriber Data Integrity in an M&amp;A Context</w:t>
      </w:r>
    </w:p>
    <w:p>
      <w:pPr>
        <w:spacing w:before="0" w:after="480"/>
        <w:jc w:val="center"/>
      </w:pPr>
      <w:r>
        <w:rPr>
          <w:rFonts w:ascii="Arial" w:cs="Arial" w:eastAsia="Arial" w:hAnsi="Arial"/>
          <w:b w:val="false"/>
          <w:bCs w:val="false"/>
          <w:i/>
          <w:iCs/>
          <w:color w:val="444444"/>
          <w:sz w:val="28"/>
          <w:szCs w:val="28"/>
        </w:rPr>
        <w:t xml:space="preserve">A Full-Lifecycle Data Quality Audit for a Nigerian Telecoms Operator</w:t>
      </w:r>
    </w:p>
    <w:p>
      <w:pPr>
        <w:pBdr>
          <w:bottom w:val="single" w:color="1a7a3f" w:sz="12" w:space="1"/>
        </w:pBdr>
        <w:spacing w:before="0" w:after="480"/>
      </w:pPr>
      <w:r>
        <w:t xml:space="preserve"/>
      </w:r>
    </w:p>
    <w:tbl>
      <w:tblPr>
        <w:tblpPr w:tblpX="1440" w:horzAnchor="margin"/>
        <w:tblW w:type="dxa" w:w="6000"/>
        <w:tblBorders>
          <w:top w:val="none"/>
          <w:left w:val="none"/>
          <w:bottom w:val="none"/>
          <w:right w:val="none"/>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pPr>
            <w:r>
              <w:rPr>
                <w:rFonts w:ascii="Arial" w:cs="Arial" w:eastAsia="Arial" w:hAnsi="Arial"/>
                <w:b/>
                <w:bCs/>
                <w:color w:val="1a7a3f"/>
                <w:sz w:val="20"/>
                <w:szCs w:val="20"/>
              </w:rPr>
              <w:t xml:space="preserve">Industry</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60" w:after="60"/>
            </w:pPr>
            <w:r>
              <w:rPr>
                <w:rFonts w:ascii="Arial" w:cs="Arial" w:eastAsia="Arial" w:hAnsi="Arial"/>
                <w:color w:val="333333"/>
                <w:sz w:val="20"/>
                <w:szCs w:val="20"/>
              </w:rPr>
              <w:t xml:space="preserve">Telecommunications — Nigeria</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pPr>
            <w:r>
              <w:rPr>
                <w:rFonts w:ascii="Arial" w:cs="Arial" w:eastAsia="Arial" w:hAnsi="Arial"/>
                <w:b/>
                <w:bCs/>
                <w:color w:val="1a7a3f"/>
                <w:sz w:val="20"/>
                <w:szCs w:val="20"/>
              </w:rPr>
              <w:t xml:space="preserve">Engagement</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60" w:after="60"/>
            </w:pPr>
            <w:r>
              <w:rPr>
                <w:rFonts w:ascii="Arial" w:cs="Arial" w:eastAsia="Arial" w:hAnsi="Arial"/>
                <w:color w:val="333333"/>
                <w:sz w:val="20"/>
                <w:szCs w:val="20"/>
              </w:rPr>
              <w:t xml:space="preserve">M&amp;A Due Diligence / Data Quality Audit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pPr>
            <w:r>
              <w:rPr>
                <w:rFonts w:ascii="Arial" w:cs="Arial" w:eastAsia="Arial" w:hAnsi="Arial"/>
                <w:b/>
                <w:bCs/>
                <w:color w:val="1a7a3f"/>
                <w:sz w:val="20"/>
                <w:szCs w:val="20"/>
              </w:rPr>
              <w:t xml:space="preserve">Scope</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60" w:after="60"/>
            </w:pPr>
            <w:r>
              <w:rPr>
                <w:rFonts w:ascii="Arial" w:cs="Arial" w:eastAsia="Arial" w:hAnsi="Arial"/>
                <w:color w:val="333333"/>
                <w:sz w:val="20"/>
                <w:szCs w:val="20"/>
              </w:rPr>
              <w:t xml:space="preserve">~20 Million Subscriber Records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pPr>
            <w:r>
              <w:rPr>
                <w:rFonts w:ascii="Arial" w:cs="Arial" w:eastAsia="Arial" w:hAnsi="Arial"/>
                <w:b/>
                <w:bCs/>
                <w:color w:val="1a7a3f"/>
                <w:sz w:val="20"/>
                <w:szCs w:val="20"/>
              </w:rPr>
              <w:t xml:space="preserve">Personal Load</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60" w:after="60"/>
            </w:pPr>
            <w:r>
              <w:rPr>
                <w:rFonts w:ascii="Arial" w:cs="Arial" w:eastAsia="Arial" w:hAnsi="Arial"/>
                <w:color w:val="333333"/>
                <w:sz w:val="20"/>
                <w:szCs w:val="20"/>
              </w:rPr>
              <w:t xml:space="preserve">4+ Million Records Analysed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pPr>
            <w:r>
              <w:rPr>
                <w:rFonts w:ascii="Arial" w:cs="Arial" w:eastAsia="Arial" w:hAnsi="Arial"/>
                <w:b/>
                <w:bCs/>
                <w:color w:val="1a7a3f"/>
                <w:sz w:val="20"/>
                <w:szCs w:val="20"/>
              </w:rPr>
              <w:t xml:space="preserve">Tools Used</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60" w:after="60"/>
            </w:pPr>
            <w:r>
              <w:rPr>
                <w:rFonts w:ascii="Arial" w:cs="Arial" w:eastAsia="Arial" w:hAnsi="Arial"/>
                <w:color w:val="333333"/>
                <w:sz w:val="20"/>
                <w:szCs w:val="20"/>
              </w:rPr>
              <w:t xml:space="preserve">SQL · Python · Power BI · Informatica · Collibra · Excel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pPr>
            <w:r>
              <w:rPr>
                <w:rFonts w:ascii="Arial" w:cs="Arial" w:eastAsia="Arial" w:hAnsi="Arial"/>
                <w:b/>
                <w:bCs/>
                <w:color w:val="1a7a3f"/>
                <w:sz w:val="20"/>
                <w:szCs w:val="20"/>
              </w:rPr>
              <w:t xml:space="preserve">Duration</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60" w:after="60"/>
            </w:pPr>
            <w:r>
              <w:rPr>
                <w:rFonts w:ascii="Arial" w:cs="Arial" w:eastAsia="Arial" w:hAnsi="Arial"/>
                <w:color w:val="333333"/>
                <w:sz w:val="20"/>
                <w:szCs w:val="20"/>
              </w:rPr>
              <w:t xml:space="preserve">Audit + 30-Day Post-Implementation Monitoring</w:t>
            </w:r>
          </w:p>
        </w:tc>
      </w:tr>
    </w:tbl>
    <w:p>
      <w:pPr>
        <w:spacing w:before="0" w:after="0"/>
      </w:pPr>
      <w:r>
        <w:t xml:space="preserve"/>
      </w:r>
    </w:p>
    <w:p>
      <w:pPr>
        <w:spacing w:before="0" w:after="0"/>
      </w:pPr>
      <w:r>
        <w:t xml:space="preserve"/>
      </w:r>
    </w:p>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1. Executive Summary</w:t>
      </w:r>
    </w:p>
    <w:p>
      <w:pPr>
        <w:spacing w:before="80" w:after="80"/>
        <w:jc w:val="left"/>
      </w:pPr>
      <w:r>
        <w:rPr>
          <w:rFonts w:ascii="Arial" w:cs="Arial" w:eastAsia="Arial" w:hAnsi="Arial"/>
          <w:b w:val="false"/>
          <w:bCs w:val="false"/>
          <w:i w:val="false"/>
          <w:iCs w:val="false"/>
          <w:color w:val="000000"/>
          <w:sz w:val="22"/>
          <w:szCs w:val="22"/>
        </w:rPr>
        <w:t xml:space="preserve">This case study documents a data quality engagement conducted for a Nigerian telecommunications operator undergoing an ownership transition. As part of a six-person data quality team, I was personally responsible for profiling, cleansing, and analysing over four million subscriber records — contributing to an organisation-wide audit spanning approximately 20 million total subscribers.</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engagement identified 1.8 million duplicate subscriber accounts and approximately four million inactive subscribers, revealing that the operator's true active, revenue-generating base was materially smaller than the figures on record. These findings directly informed the acquisition valuation and exposed a significant credit recovery risk arising from an undercollateralised student loan scheme that had been launched on an incomplete data foundation.</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Beyond the audit itself, the team designed and delivered a customer data lifecycle framework, a revised KYC onboarding standard aligned to NCC regulatory requirements, and an enterprise-wide data stewardship programme — including in-house training for operational and management staff across the organisation. A 30-day post-implementation monitoring period was conducted to validate framework adoption and measure early improvement.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8"/>
                <w:szCs w:val="28"/>
              </w:rPr>
              <w:t xml:space="preserve">~20M</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8"/>
                <w:szCs w:val="28"/>
              </w:rPr>
              <w:t xml:space="preserve">1.8M</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8"/>
                <w:szCs w:val="28"/>
              </w:rPr>
              <w:t xml:space="preserve">~4M</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8"/>
                <w:szCs w:val="28"/>
              </w:rPr>
              <w:t xml:space="preserve">600+</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18"/>
                <w:szCs w:val="18"/>
              </w:rPr>
              <w:t xml:space="preserve">Total Subscribers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18"/>
                <w:szCs w:val="18"/>
              </w:rPr>
              <w:t xml:space="preserve">Duplicates Identified</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18"/>
                <w:szCs w:val="18"/>
              </w:rPr>
              <w:t xml:space="preserve">Inactive Subscribers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000000"/>
                <w:sz w:val="18"/>
                <w:szCs w:val="18"/>
              </w:rPr>
              <w:t xml:space="preserve">CRM Misclassifications</w:t>
            </w:r>
          </w:p>
        </w:tc>
      </w:tr>
    </w:tbl>
    <w:p>
      <w:pPr>
        <w:spacing w:before="0" w:after="0"/>
      </w:pPr>
      <w:r>
        <w:t xml:space="preserve"/>
      </w:r>
    </w:p>
    <w:p>
      <w:pPr>
        <w:spacing w:before="80" w:after="80"/>
        <w:jc w:val="left"/>
      </w:pPr>
      <w:r>
        <w:rPr>
          <w:rFonts w:ascii="Arial" w:cs="Arial" w:eastAsia="Arial" w:hAnsi="Arial"/>
          <w:b w:val="false"/>
          <w:bCs w:val="false"/>
          <w:i/>
          <w:iCs/>
          <w:color w:val="666666"/>
          <w:sz w:val="20"/>
          <w:szCs w:val="20"/>
        </w:rPr>
        <w:t xml:space="preserve">Tools used: SQL · Python · Power BI · Excel · Informatica · Collibra · CRM Platform Access</w:t>
      </w:r>
    </w:p>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2. Business Context</w:t>
      </w:r>
    </w:p>
    <w:p>
      <w:pPr>
        <w:spacing w:before="80" w:after="80"/>
        <w:jc w:val="left"/>
      </w:pPr>
      <w:r>
        <w:rPr>
          <w:rFonts w:ascii="Arial" w:cs="Arial" w:eastAsia="Arial" w:hAnsi="Arial"/>
          <w:b w:val="false"/>
          <w:bCs w:val="false"/>
          <w:i w:val="false"/>
          <w:iCs w:val="false"/>
          <w:color w:val="000000"/>
          <w:sz w:val="22"/>
          <w:szCs w:val="22"/>
        </w:rPr>
        <w:t xml:space="preserve">The client was a mid-scale Nigerian mobile network operator with an approximate subscriber base of 20 million, positioning it as the third-largest operator in one of Africa's most competitive telecoms markets. The Nigerian telecoms sector is characterised by high subscriber volumes, aggressive agent-led field onboarding, and a regulatory environment governed by the Nigerian Communications Commission (NCC).</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At the time of engagement, Nigeria's total mobile subscriptions stood at approximately 171.6 million across the market, with the industry dominated by two major operators. The client held approximately 14% of the total subscriber market — a commercially significant position, but one in which subscriber base integrity was essential to sustaining market credibility and attracting investment.</w:t>
      </w:r>
    </w:p>
    <w:p>
      <w:pPr>
        <w:spacing w:before="0" w:after="0"/>
      </w:pPr>
      <w:r>
        <w:t xml:space="preserve"/>
      </w:r>
    </w:p>
    <w:p>
      <w:pPr>
        <w:pStyle w:val="Heading2"/>
        <w:spacing w:before="240" w:after="120"/>
      </w:pPr>
      <w:r>
        <w:rPr>
          <w:rFonts w:ascii="Arial" w:cs="Arial" w:eastAsia="Arial" w:hAnsi="Arial"/>
          <w:b/>
          <w:bCs/>
          <w:color w:val="1a1a2e"/>
          <w:sz w:val="24"/>
          <w:szCs w:val="24"/>
        </w:rPr>
        <w:t xml:space="preserve">Nigerian Mobile Telecoms — Market Share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1680"/>
        <w:gridCol w:w="140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Operator</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Subscribers</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Market Share</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Position</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MTN Nigeria</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89.6 million</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52.3%</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1st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Airtel Nigeria</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58.0 million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33.9%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2nd</w:t>
            </w:r>
          </w:p>
        </w:tc>
      </w:tr>
      <w:tr>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Client Operator (anonymised)</w:t>
            </w:r>
          </w:p>
        </w:tc>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~20 million</w:t>
            </w:r>
          </w:p>
        </w:tc>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~14%</w:t>
            </w:r>
          </w:p>
        </w:tc>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3rd</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Others (T2 etc.)</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~4.0 million</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~1.6%</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4th+</w:t>
            </w:r>
          </w:p>
        </w:tc>
      </w:tr>
    </w:tbl>
    <w:p>
      <w:pPr>
        <w:spacing w:before="80" w:after="200"/>
        <w:jc w:val="left"/>
      </w:pPr>
      <w:r>
        <w:rPr>
          <w:rFonts w:ascii="Arial" w:cs="Arial" w:eastAsia="Arial" w:hAnsi="Arial"/>
          <w:b w:val="false"/>
          <w:bCs w:val="false"/>
          <w:i/>
          <w:iCs/>
          <w:color w:val="888888"/>
          <w:sz w:val="18"/>
          <w:szCs w:val="18"/>
        </w:rPr>
        <w:t xml:space="preserve">Source: NCC market data / BusinessDay Nigeria, August 2025. Client identity anonymised for portfolio purposes.</w:t>
      </w:r>
    </w:p>
    <w:p>
      <w:pPr>
        <w:spacing w:before="80" w:after="80"/>
        <w:jc w:val="left"/>
      </w:pPr>
      <w:r>
        <w:rPr>
          <w:rFonts w:ascii="Arial" w:cs="Arial" w:eastAsia="Arial" w:hAnsi="Arial"/>
          <w:b w:val="false"/>
          <w:bCs w:val="false"/>
          <w:i w:val="false"/>
          <w:iCs w:val="false"/>
          <w:color w:val="000000"/>
          <w:sz w:val="22"/>
          <w:szCs w:val="22"/>
        </w:rPr>
        <w:t xml:space="preserve">At the time of engagement, the operator was undergoing an ownership transition — its second acquisition in recent years. The incoming ownership required an independent, evidence-based assessment of the business's operational and data health as a core component of due diligence. In telecoms, the subscriber base is the primary commercial asset; its size, quality, and revenue-generating potential are directly tied to business valuation.</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company had experienced significant organisational disruption following its previous acquisition, during which data governance had not been a strategic priority. Growth targets and rapid subscriber acquisition had taken precedence over data integrity, resulting in accumulated data quality debt across core systems. No formal data ownership structure existed, and KYC collection standards varied materially across onboarding channels — field agents, service centres, and legacy migrated records each operating to different standards.</w:t>
      </w:r>
    </w:p>
    <w:p>
      <w:pPr>
        <w:spacing w:before="0" w:after="0"/>
      </w:pPr>
      <w:r>
        <w:t xml:space="preserve"/>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7a3f" w:val="clear"/>
            <w:tcMar>
              <w:top w:type="dxa" w:w="80"/>
              <w:left w:type="dxa" w:w="0"/>
              <w:bottom w:type="dxa" w:w="80"/>
              <w:right w:type="dxa" w:w="0"/>
            </w:tcMar>
          </w:tcPr>
          <w:p>
            <w:r>
              <w:t xml:space="preserve"/>
            </w:r>
          </w:p>
        </w:tc>
        <w:tc>
          <w:tcPr>
            <w:tcW w:type="dxa" w:w="9180"/>
            <w:tcBorders>
              <w:top w:val="none" w:color="FFFFFF" w:sz="0"/>
              <w:left w:val="none" w:color="FFFFFF" w:sz="0"/>
              <w:bottom w:val="none" w:color="FFFFFF" w:sz="0"/>
              <w:right w:val="none" w:color="FFFFFF" w:sz="0"/>
            </w:tcBorders>
            <w:shd w:fill="E8F5EC" w:val="clear"/>
            <w:tcMar>
              <w:top w:type="dxa" w:w="100"/>
              <w:left w:type="dxa" w:w="200"/>
              <w:bottom w:type="dxa" w:w="100"/>
              <w:right w:type="dxa" w:w="140"/>
            </w:tcMar>
          </w:tcPr>
          <w:p>
            <w:pPr>
              <w:spacing w:before="40" w:after="40"/>
            </w:pPr>
            <w:r>
              <w:rPr>
                <w:rFonts w:ascii="Arial" w:cs="Arial" w:eastAsia="Arial" w:hAnsi="Arial"/>
                <w:b/>
                <w:bCs/>
                <w:color w:val="1a7a3f"/>
                <w:sz w:val="20"/>
                <w:szCs w:val="20"/>
              </w:rPr>
              <w:t xml:space="preserve">Why this context matters</w:t>
            </w:r>
          </w:p>
          <w:p>
            <w:pPr>
              <w:spacing w:before="0" w:after="40"/>
            </w:pPr>
            <w:r>
              <w:rPr>
                <w:rFonts w:ascii="Arial" w:cs="Arial" w:eastAsia="Arial" w:hAnsi="Arial"/>
                <w:i/>
                <w:iCs/>
                <w:color w:val="333333"/>
                <w:sz w:val="20"/>
                <w:szCs w:val="20"/>
              </w:rPr>
              <w:t xml:space="preserve">An M&amp;A due diligence setting is one of the highest-stakes environments for a data quality engagement. Findings do not merely inform operational improvements — they directly influence company valuation, deal structure, and investor confidence. The work conducted in this engagement had board-level commercial consequences.</w:t>
            </w:r>
          </w:p>
        </w:tc>
      </w:tr>
    </w:tbl>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3. Engagement Scope</w:t>
      </w:r>
    </w:p>
    <w:p>
      <w:pPr>
        <w:spacing w:before="80" w:after="80"/>
        <w:jc w:val="left"/>
      </w:pPr>
      <w:r>
        <w:rPr>
          <w:rFonts w:ascii="Arial" w:cs="Arial" w:eastAsia="Arial" w:hAnsi="Arial"/>
          <w:b w:val="false"/>
          <w:bCs w:val="false"/>
          <w:i w:val="false"/>
          <w:iCs w:val="false"/>
          <w:color w:val="000000"/>
          <w:sz w:val="22"/>
          <w:szCs w:val="22"/>
        </w:rPr>
        <w:t xml:space="preserve">The engagement covered six interconnected data domains, each selected because of its direct relevance to subscriber base valuation, regulatory compliance, and operational health. The scope was deliberately broad to give the incoming ownership a complete, honest picture of the asset they were acquiring — not a partial view.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Data Domain</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Scope Description</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Primary DQ Dimension</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Subscriber Base Integrity</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Total subscriber count; classification of active vs. inactive based on defined business rules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Completeness · Timeliness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Duplicate Detection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Identification of multiple accounts linked to the same PII (name, address, NIN, contact number)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Uniqueness</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KYC Compliance Audit</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Assessment of KYC records against NCC regulatory standards; identification of gaps and non-compliant records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Validity · Completeness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CRM Profiling Accuracy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Validation of enterprise vs. individual customer classification; identification of billing anomalies from misclassification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Accuracy</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Revenue Risk (Arrears)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Identification of subscribers with outstanding balances; assessment of recoverability, including the student credit scheme exposure</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Accuracy · Completeness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Geographic Distribution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Regional spread of active subscriber base to identify operational concentration and coverage profile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Consistency</w:t>
            </w:r>
          </w:p>
        </w:tc>
      </w:tr>
    </w:tbl>
    <w:p>
      <w:pPr>
        <w:spacing w:before="0" w:after="0"/>
      </w:pPr>
      <w:r>
        <w:t xml:space="preserve"/>
      </w:r>
    </w:p>
    <w:p>
      <w:pPr>
        <w:pStyle w:val="Heading2"/>
        <w:spacing w:before="240" w:after="120"/>
      </w:pPr>
      <w:r>
        <w:rPr>
          <w:rFonts w:ascii="Arial" w:cs="Arial" w:eastAsia="Arial" w:hAnsi="Arial"/>
          <w:b/>
          <w:bCs/>
          <w:color w:val="1a1a2e"/>
          <w:sz w:val="24"/>
          <w:szCs w:val="24"/>
        </w:rPr>
        <w:t xml:space="preserve">A Note on Scoping Decisions</w:t>
      </w:r>
    </w:p>
    <w:p>
      <w:pPr>
        <w:spacing w:before="80" w:after="80"/>
        <w:jc w:val="left"/>
      </w:pPr>
      <w:r>
        <w:rPr>
          <w:rFonts w:ascii="Arial" w:cs="Arial" w:eastAsia="Arial" w:hAnsi="Arial"/>
          <w:b w:val="false"/>
          <w:bCs w:val="false"/>
          <w:i w:val="false"/>
          <w:iCs w:val="false"/>
          <w:color w:val="000000"/>
          <w:sz w:val="22"/>
          <w:szCs w:val="22"/>
        </w:rPr>
        <w:t xml:space="preserve">Scoping is itself a professional skill. One of the early decisions made by the team was to define formal business rules before any data work began — most critically, the definition of an 'active' subscriber. Without an agreed definition, subscriber counts are meaningless; different assumptions produce radically different numbers.</w:t>
      </w:r>
    </w:p>
    <w:p>
      <w:pPr>
        <w:spacing w:before="0" w:after="0"/>
      </w:pPr>
      <w:r>
        <w:t xml:space="preserve"/>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7a3f" w:val="clear"/>
            <w:tcMar>
              <w:top w:type="dxa" w:w="80"/>
              <w:left w:type="dxa" w:w="0"/>
              <w:bottom w:type="dxa" w:w="80"/>
              <w:right w:type="dxa" w:w="0"/>
            </w:tcMar>
          </w:tcPr>
          <w:p>
            <w:r>
              <w:t xml:space="preserve"/>
            </w:r>
          </w:p>
        </w:tc>
        <w:tc>
          <w:tcPr>
            <w:tcW w:type="dxa" w:w="9180"/>
            <w:tcBorders>
              <w:top w:val="none" w:color="FFFFFF" w:sz="0"/>
              <w:left w:val="none" w:color="FFFFFF" w:sz="0"/>
              <w:bottom w:val="none" w:color="FFFFFF" w:sz="0"/>
              <w:right w:val="none" w:color="FFFFFF" w:sz="0"/>
            </w:tcBorders>
            <w:shd w:fill="E8F5EC" w:val="clear"/>
            <w:tcMar>
              <w:top w:type="dxa" w:w="100"/>
              <w:left w:type="dxa" w:w="200"/>
              <w:bottom w:type="dxa" w:w="100"/>
              <w:right w:type="dxa" w:w="140"/>
            </w:tcMar>
          </w:tcPr>
          <w:p>
            <w:pPr>
              <w:spacing w:before="40" w:after="40"/>
            </w:pPr>
            <w:r>
              <w:rPr>
                <w:rFonts w:ascii="Arial" w:cs="Arial" w:eastAsia="Arial" w:hAnsi="Arial"/>
                <w:b/>
                <w:bCs/>
                <w:color w:val="1a7a3f"/>
                <w:sz w:val="20"/>
                <w:szCs w:val="20"/>
              </w:rPr>
              <w:t xml:space="preserve">Active Subscriber Definition</w:t>
            </w:r>
          </w:p>
          <w:p>
            <w:pPr>
              <w:spacing w:before="0" w:after="40"/>
            </w:pPr>
            <w:r>
              <w:rPr>
                <w:rFonts w:ascii="Arial" w:cs="Arial" w:eastAsia="Arial" w:hAnsi="Arial"/>
                <w:i/>
                <w:iCs/>
                <w:color w:val="333333"/>
                <w:sz w:val="20"/>
                <w:szCs w:val="20"/>
              </w:rPr>
              <w:t xml:space="preserve">A subscriber was classified as 'active' if they had recorded any network activity — calls, data usage, or financial transaction — within the preceding 180 days. This definition was agreed with the client as a formal business rule and applied consistently across all analysis. Subscribers with zero activity beyond 180 days were classified as inactive, regardless of whether their account remained technically open.</w:t>
            </w:r>
          </w:p>
        </w:tc>
      </w:tr>
    </w:tbl>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This definition was deliberately conservative — long enough to account for seasonal or occasional users, while reflecting commercial reality. It became the foundation for all subsequent subscriber-count reporting throughout the engagement.</w:t>
      </w:r>
    </w:p>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4. Methodology</w:t>
      </w:r>
    </w:p>
    <w:p>
      <w:pPr>
        <w:spacing w:before="80" w:after="80"/>
        <w:jc w:val="left"/>
      </w:pPr>
      <w:r>
        <w:rPr>
          <w:rFonts w:ascii="Arial" w:cs="Arial" w:eastAsia="Arial" w:hAnsi="Arial"/>
          <w:b w:val="false"/>
          <w:bCs w:val="false"/>
          <w:i w:val="false"/>
          <w:iCs w:val="false"/>
          <w:color w:val="000000"/>
          <w:sz w:val="22"/>
          <w:szCs w:val="22"/>
        </w:rPr>
        <w:t xml:space="preserve">The engagement followed a structured four-phase methodology: Assess, Diagnose, Remediate, and Embed. This approach ensured that the work moved from understanding the problem, to explaining it, to fixing it, to making the fix sustainable.</w:t>
      </w:r>
    </w:p>
    <w:p>
      <w:pPr>
        <w:spacing w:before="0" w:after="0"/>
      </w:pPr>
      <w:r>
        <w:t xml:space="preserve"/>
      </w:r>
    </w:p>
    <w:p>
      <w:pPr>
        <w:pStyle w:val="Heading2"/>
        <w:spacing w:before="240" w:after="120"/>
      </w:pPr>
      <w:r>
        <w:rPr>
          <w:rFonts w:ascii="Arial" w:cs="Arial" w:eastAsia="Arial" w:hAnsi="Arial"/>
          <w:b/>
          <w:bCs/>
          <w:color w:val="1a1a2e"/>
          <w:sz w:val="24"/>
          <w:szCs w:val="24"/>
        </w:rPr>
        <w:t xml:space="preserve">Phase 1 — Onboarding Pause &amp; Baseline Assessment (Days 1–15)</w:t>
      </w:r>
    </w:p>
    <w:p>
      <w:pPr>
        <w:spacing w:before="80" w:after="80"/>
        <w:jc w:val="left"/>
      </w:pPr>
      <w:r>
        <w:rPr>
          <w:rFonts w:ascii="Arial" w:cs="Arial" w:eastAsia="Arial" w:hAnsi="Arial"/>
          <w:b w:val="false"/>
          <w:bCs w:val="false"/>
          <w:i w:val="false"/>
          <w:iCs w:val="false"/>
          <w:color w:val="000000"/>
          <w:sz w:val="22"/>
          <w:szCs w:val="22"/>
        </w:rPr>
        <w:t xml:space="preserve">In the first 15 days of the engagement, new customer onboarding activities were placed on hold. This was a significant operational decision — pausing the primary subscriber acquisition function of a telecoms operator — but one justified by the scale of data integrity issues identified during initial scoping. Continuing to onboard new subscribers onto a broken data foundation would have compounded the problem and contaminated the audit baseline.</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During this period, the team conducted a full data profiling exercise across the subscriber database, CRM, billing system, and KYC records. Each data domain was assessed against the six standard dimensions of data quality: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DQ Dimension</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Definition</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How it Manifested in This Engagement</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Completeness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Are required fields populated?</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KYC records missing mandatory PII fields; subscriber records with no contact data</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Uniqueness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Are there duplicate records?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1.8M duplicate accounts identified via PII matching across name, address, NIN, and contact number</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Accuracy</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Does data reflect reality?</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600+ enterprise customers misclassified as individual — causing systematic underbilling</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Validity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Does data conform to expected formats and rules?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KYC records not meeting NCC regulatory standards; inconsistent field formats across onboarding channels</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Timeliness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Is data current enough to be useful?</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~4M subscribers classified inactive under the 180-day rule; data reflecting long-stale states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Consistency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Is the same data defined the same way across systems?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Subscriber definitions, field labels, and collection standards differed between field agent and service centre channels</w:t>
            </w:r>
          </w:p>
        </w:tc>
      </w:tr>
    </w:tbl>
    <w:p>
      <w:pPr>
        <w:spacing w:before="0" w:after="0"/>
      </w:pPr>
      <w:r>
        <w:t xml:space="preserve"/>
      </w:r>
    </w:p>
    <w:p>
      <w:pPr>
        <w:pStyle w:val="Heading2"/>
        <w:spacing w:before="240" w:after="120"/>
      </w:pPr>
      <w:r>
        <w:rPr>
          <w:rFonts w:ascii="Arial" w:cs="Arial" w:eastAsia="Arial" w:hAnsi="Arial"/>
          <w:b/>
          <w:bCs/>
          <w:color w:val="1a1a2e"/>
          <w:sz w:val="24"/>
          <w:szCs w:val="24"/>
        </w:rPr>
        <w:t xml:space="preserve">Phase 2 — Duplicate Detection &amp; Record Matching</w:t>
      </w:r>
    </w:p>
    <w:p>
      <w:pPr>
        <w:spacing w:before="80" w:after="80"/>
        <w:jc w:val="left"/>
      </w:pPr>
      <w:r>
        <w:rPr>
          <w:rFonts w:ascii="Arial" w:cs="Arial" w:eastAsia="Arial" w:hAnsi="Arial"/>
          <w:b w:val="false"/>
          <w:bCs w:val="false"/>
          <w:i w:val="false"/>
          <w:iCs w:val="false"/>
          <w:color w:val="000000"/>
          <w:sz w:val="22"/>
          <w:szCs w:val="22"/>
        </w:rPr>
        <w:t xml:space="preserve">Duplicate detection was conducted using a multi-level matching strategy, applied to the full subscriber database. The team matched on three primary levels, with a composite confidence scoring approach:</w:t>
      </w:r>
    </w:p>
    <w:p>
      <w:pPr>
        <w:spacing w:before="0" w:after="0"/>
      </w:pPr>
      <w:r>
        <w:t xml:space="preserve"/>
      </w:r>
    </w:p>
    <w:p>
      <w:pPr>
        <w:pStyle w:val="ListParagraph"/>
        <w:numPr>
          <w:ilvl w:val="0"/>
          <w:numId w:val="2"/>
        </w:numPr>
        <w:spacing w:before="40" w:after="40"/>
      </w:pPr>
      <w:r>
        <w:rPr>
          <w:rFonts w:ascii="Arial" w:cs="Arial" w:eastAsia="Arial" w:hAnsi="Arial"/>
          <w:b/>
          <w:bCs/>
          <w:sz w:val="22"/>
          <w:szCs w:val="22"/>
        </w:rPr>
        <w:t xml:space="preserve">Name matching — </w:t>
      </w:r>
      <w:r>
        <w:rPr>
          <w:rFonts w:ascii="Arial" w:cs="Arial" w:eastAsia="Arial" w:hAnsi="Arial"/>
          <w:sz w:val="22"/>
          <w:szCs w:val="22"/>
        </w:rPr>
        <w:t xml:space="preserve">exact and fuzzy matching applied to capture spelling variants common in Nigerian names (e.g. 'Mohammed' vs. 'Muhammad'). Phonetic algorithms were used to supplement exact string comparison.</w:t>
      </w:r>
    </w:p>
    <w:p>
      <w:pPr>
        <w:pStyle w:val="ListParagraph"/>
        <w:numPr>
          <w:ilvl w:val="0"/>
          <w:numId w:val="2"/>
        </w:numPr>
        <w:spacing w:before="40" w:after="40"/>
      </w:pPr>
      <w:r>
        <w:rPr>
          <w:rFonts w:ascii="Arial" w:cs="Arial" w:eastAsia="Arial" w:hAnsi="Arial"/>
          <w:b/>
          <w:bCs/>
          <w:sz w:val="22"/>
          <w:szCs w:val="22"/>
        </w:rPr>
        <w:t xml:space="preserve">Address matching — </w:t>
      </w:r>
      <w:r>
        <w:rPr>
          <w:rFonts w:ascii="Arial" w:cs="Arial" w:eastAsia="Arial" w:hAnsi="Arial"/>
          <w:sz w:val="22"/>
          <w:szCs w:val="22"/>
        </w:rPr>
        <w:t xml:space="preserve">normalised and matched, acknowledging that address formats in Nigeria are frequently inconsistent. Partial matching thresholds were applied.</w:t>
      </w:r>
    </w:p>
    <w:p>
      <w:pPr>
        <w:pStyle w:val="ListParagraph"/>
        <w:numPr>
          <w:ilvl w:val="0"/>
          <w:numId w:val="2"/>
        </w:numPr>
        <w:spacing w:before="40" w:after="40"/>
      </w:pPr>
      <w:r>
        <w:rPr>
          <w:rFonts w:ascii="Arial" w:cs="Arial" w:eastAsia="Arial" w:hAnsi="Arial"/>
          <w:b/>
          <w:bCs/>
          <w:sz w:val="22"/>
          <w:szCs w:val="22"/>
        </w:rPr>
        <w:t xml:space="preserve">NIN (National Identity Number) — </w:t>
      </w:r>
      <w:r>
        <w:rPr>
          <w:rFonts w:ascii="Arial" w:cs="Arial" w:eastAsia="Arial" w:hAnsi="Arial"/>
          <w:sz w:val="22"/>
          <w:szCs w:val="22"/>
        </w:rPr>
        <w:t xml:space="preserve">used as the most reliable single identifier where available. NIN coverage was incomplete across the base, reflecting the state of NIN-SIM linkage compliance at the time.</w:t>
      </w:r>
    </w:p>
    <w:p>
      <w:pPr>
        <w:pStyle w:val="ListParagraph"/>
        <w:numPr>
          <w:ilvl w:val="0"/>
          <w:numId w:val="2"/>
        </w:numPr>
        <w:spacing w:before="40" w:after="40"/>
      </w:pPr>
      <w:r>
        <w:rPr>
          <w:rFonts w:ascii="Arial" w:cs="Arial" w:eastAsia="Arial" w:hAnsi="Arial"/>
          <w:b/>
          <w:bCs/>
          <w:sz w:val="22"/>
          <w:szCs w:val="22"/>
        </w:rPr>
        <w:t xml:space="preserve">Contact number matching — </w:t>
      </w:r>
      <w:r>
        <w:rPr>
          <w:rFonts w:ascii="Arial" w:cs="Arial" w:eastAsia="Arial" w:hAnsi="Arial"/>
          <w:sz w:val="22"/>
          <w:szCs w:val="22"/>
        </w:rPr>
        <w:t xml:space="preserve">MSISDNs and secondary contact numbers were matched cross-records; the same phone number appearing on two subscriber accounts is a strong duplicate signal in any telecoms dataset.</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Records were assigned a match confidence score. Those exceeding the defined threshold were flagged as confirmed duplicates; those in an intermediate band were set aside for manual review. This approach produced the finding of 1.8 million confirmed duplicate accounts — representing 9% of the total subscriber base.</w:t>
      </w:r>
    </w:p>
    <w:p>
      <w:pPr>
        <w:spacing w:before="0" w:after="0"/>
      </w:pPr>
      <w:r>
        <w:t xml:space="preserve"/>
      </w:r>
    </w:p>
    <w:p>
      <w:pPr>
        <w:pStyle w:val="Heading2"/>
        <w:spacing w:before="240" w:after="120"/>
      </w:pPr>
      <w:r>
        <w:rPr>
          <w:rFonts w:ascii="Arial" w:cs="Arial" w:eastAsia="Arial" w:hAnsi="Arial"/>
          <w:b/>
          <w:bCs/>
          <w:color w:val="1a1a2e"/>
          <w:sz w:val="24"/>
          <w:szCs w:val="24"/>
        </w:rPr>
        <w:t xml:space="preserve">Phase 3 — KYC Audit Against NCC Standards</w:t>
      </w:r>
    </w:p>
    <w:p>
      <w:pPr>
        <w:spacing w:before="80" w:after="80"/>
        <w:jc w:val="left"/>
      </w:pPr>
      <w:r>
        <w:rPr>
          <w:rFonts w:ascii="Arial" w:cs="Arial" w:eastAsia="Arial" w:hAnsi="Arial"/>
          <w:b w:val="false"/>
          <w:bCs w:val="false"/>
          <w:i w:val="false"/>
          <w:iCs w:val="false"/>
          <w:color w:val="000000"/>
          <w:sz w:val="22"/>
          <w:szCs w:val="22"/>
        </w:rPr>
        <w:t xml:space="preserve">All KYC records were assessed against the Nigerian Communications Commission's subscriber registration requirements — the formal regulatory benchmark, not merely internal business standards. Each record was evaluated for presence, accuracy, and validity of required PII fields.</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Gaps were found to be systematically linked to the onboarding channel. Field agent registrations consistently contained fewer data fields than service centre registrations — a direct consequence of different collection standards operating in parallel without a unified policy. This was a root cause finding, not just a symptom.</w:t>
      </w:r>
    </w:p>
    <w:p>
      <w:pPr>
        <w:spacing w:before="0" w:after="0"/>
      </w:pPr>
      <w:r>
        <w:t xml:space="preserve"/>
      </w:r>
    </w:p>
    <w:p>
      <w:pPr>
        <w:pStyle w:val="Heading2"/>
        <w:spacing w:before="240" w:after="120"/>
      </w:pPr>
      <w:r>
        <w:rPr>
          <w:rFonts w:ascii="Arial" w:cs="Arial" w:eastAsia="Arial" w:hAnsi="Arial"/>
          <w:b/>
          <w:bCs/>
          <w:color w:val="1a1a2e"/>
          <w:sz w:val="24"/>
          <w:szCs w:val="24"/>
        </w:rPr>
        <w:t xml:space="preserve">Phase 4 — Tooling Used</w:t>
      </w:r>
    </w:p>
    <w:p>
      <w:pPr>
        <w:spacing w:before="80" w:after="80"/>
        <w:jc w:val="left"/>
      </w:pPr>
      <w:r>
        <w:rPr>
          <w:rFonts w:ascii="Arial" w:cs="Arial" w:eastAsia="Arial" w:hAnsi="Arial"/>
          <w:b w:val="false"/>
          <w:bCs w:val="false"/>
          <w:i w:val="false"/>
          <w:iCs w:val="false"/>
          <w:color w:val="000000"/>
          <w:sz w:val="22"/>
          <w:szCs w:val="22"/>
        </w:rPr>
        <w:t xml:space="preserve">The engagement made use of a professional-grade toolstack appropriate to the scale and sensitivity of the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Tool</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Application in This Engagement</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SQL</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Primary data extraction, transformation, and profiling queries across subscriber and billing databases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Python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Fuzzy matching algorithms for duplicate detection; data profiling scripts; automation of repetitive cleansing tasks</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Power BI</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Scorecard and dashboard development; geographic subscriber distribution visualisation; progress reporting to stakeholders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Informatica</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Enterprise ETL and data quality tooling; rule definition and automated cleansing workflows at scale</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Collibra</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Data governance platform used for business glossary development, critical data element documentation, and stewardship assignment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Excel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Manual review datasets, business rule documentation, KYC gap tracking matrices</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CRM Access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Direct system access for customer classification audit and billing anomaly investigation</w:t>
            </w:r>
          </w:p>
        </w:tc>
      </w:tr>
    </w:tbl>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5. Key Findings</w:t>
      </w:r>
    </w:p>
    <w:p>
      <w:pPr>
        <w:spacing w:before="80" w:after="80"/>
        <w:jc w:val="left"/>
      </w:pPr>
      <w:r>
        <w:rPr>
          <w:rFonts w:ascii="Arial" w:cs="Arial" w:eastAsia="Arial" w:hAnsi="Arial"/>
          <w:b w:val="false"/>
          <w:bCs w:val="false"/>
          <w:i w:val="false"/>
          <w:iCs w:val="false"/>
          <w:color w:val="000000"/>
          <w:sz w:val="22"/>
          <w:szCs w:val="22"/>
        </w:rPr>
        <w:t xml:space="preserve">The audit produced findings across all six data domains. The combined effect was a materially different picture of the operator's subscriber base and financial position from that which had previously been reported.</w:t>
      </w:r>
    </w:p>
    <w:p>
      <w:pPr>
        <w:spacing w:before="0" w:after="0"/>
      </w:pPr>
      <w:r>
        <w:t xml:space="preserve"/>
      </w:r>
    </w:p>
    <w:p>
      <w:pPr>
        <w:pStyle w:val="Heading2"/>
        <w:spacing w:before="240" w:after="120"/>
      </w:pPr>
      <w:r>
        <w:rPr>
          <w:rFonts w:ascii="Arial" w:cs="Arial" w:eastAsia="Arial" w:hAnsi="Arial"/>
          <w:b/>
          <w:bCs/>
          <w:color w:val="1a1a2e"/>
          <w:sz w:val="24"/>
          <w:szCs w:val="24"/>
        </w:rPr>
        <w:t xml:space="preserve">5.1 Subscriber Base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Category</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Count</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 of Reported Base</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Total Reported Subscribers</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~20,000,000</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100%</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Confirmed Duplicates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C0000"/>
                <w:sz w:val="20"/>
                <w:szCs w:val="20"/>
              </w:rPr>
              <w:t xml:space="preserve">~1,800,000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C0000"/>
                <w:sz w:val="20"/>
                <w:szCs w:val="20"/>
              </w:rPr>
              <w:t xml:space="preserve">9.0%</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Inactive Subscribers (180d)</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C0000"/>
                <w:sz w:val="20"/>
                <w:szCs w:val="20"/>
              </w:rPr>
              <w:t xml:space="preserve">~4,000,000</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C0000"/>
                <w:sz w:val="20"/>
                <w:szCs w:val="20"/>
              </w:rPr>
              <w:t xml:space="preserve">20.0%</w:t>
            </w:r>
          </w:p>
        </w:tc>
      </w:tr>
      <w:tr>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True Active Base (estimated)</w:t>
            </w:r>
          </w:p>
        </w:tc>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1a7a3f"/>
                <w:sz w:val="20"/>
                <w:szCs w:val="20"/>
              </w:rPr>
              <w:t xml:space="preserve">~14,200,000</w:t>
            </w:r>
          </w:p>
        </w:tc>
        <w:tc>
          <w:tcPr>
            <w:tcBorders>
              <w:top w:val="single" w:color="DDDDDD" w:sz="1"/>
              <w:left w:val="single" w:color="DDDDDD" w:sz="1"/>
              <w:bottom w:val="single" w:color="DDDDDD" w:sz="1"/>
              <w:right w:val="single" w:color="DDDDDD" w:sz="1"/>
            </w:tcBorders>
            <w:shd w:fill="E8F5EC"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1a7a3f"/>
                <w:sz w:val="20"/>
                <w:szCs w:val="20"/>
              </w:rPr>
              <w:t xml:space="preserve">~71%</w:t>
            </w:r>
          </w:p>
        </w:tc>
      </w:tr>
    </w:tbl>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acquiring party had been operating under the assumption of a 20 million subscriber base. The audit established that the true active, non-duplicate subscriber count was approximately 14.2 million — a 29% reduction from the reported figure. This gap had a direct and material impact on the acquisition valuation.</w:t>
      </w:r>
    </w:p>
    <w:p>
      <w:pPr>
        <w:spacing w:before="0" w:after="0"/>
      </w:pPr>
      <w:r>
        <w:t xml:space="preserve"/>
      </w:r>
    </w:p>
    <w:p>
      <w:pPr>
        <w:pStyle w:val="Heading2"/>
        <w:spacing w:before="240" w:after="120"/>
      </w:pPr>
      <w:r>
        <w:rPr>
          <w:rFonts w:ascii="Arial" w:cs="Arial" w:eastAsia="Arial" w:hAnsi="Arial"/>
          <w:b/>
          <w:bCs/>
          <w:color w:val="1a1a2e"/>
          <w:sz w:val="24"/>
          <w:szCs w:val="24"/>
        </w:rPr>
        <w:t xml:space="preserve">5.2 Duplicate Subscribers</w:t>
      </w:r>
    </w:p>
    <w:p>
      <w:pPr>
        <w:spacing w:before="80" w:after="80"/>
        <w:jc w:val="left"/>
      </w:pPr>
      <w:r>
        <w:rPr>
          <w:rFonts w:ascii="Arial" w:cs="Arial" w:eastAsia="Arial" w:hAnsi="Arial"/>
          <w:b w:val="false"/>
          <w:bCs w:val="false"/>
          <w:i w:val="false"/>
          <w:iCs w:val="false"/>
          <w:color w:val="000000"/>
          <w:sz w:val="22"/>
          <w:szCs w:val="22"/>
        </w:rPr>
        <w:t xml:space="preserve">1.8 million duplicate accounts were confirmed — representing 9% of the total subscriber base. These duplicates had accumulated through several mechanisms: legacy data carried forward from the prior acquisition without deduplication; re-registration of existing subscribers by field agents; and PII reuse across related family members sharing contact details without adequate differentiation.</w:t>
      </w:r>
    </w:p>
    <w:p>
      <w:pPr>
        <w:spacing w:before="0" w:after="0"/>
      </w:pPr>
      <w:r>
        <w:t xml:space="preserve"/>
      </w:r>
    </w:p>
    <w:p>
      <w:pPr>
        <w:pStyle w:val="Heading2"/>
        <w:spacing w:before="240" w:after="120"/>
      </w:pPr>
      <w:r>
        <w:rPr>
          <w:rFonts w:ascii="Arial" w:cs="Arial" w:eastAsia="Arial" w:hAnsi="Arial"/>
          <w:b/>
          <w:bCs/>
          <w:color w:val="1a1a2e"/>
          <w:sz w:val="24"/>
          <w:szCs w:val="24"/>
        </w:rPr>
        <w:t xml:space="preserve">5.3 KYC Compliance Gaps</w:t>
      </w:r>
    </w:p>
    <w:p>
      <w:pPr>
        <w:spacing w:before="80" w:after="80"/>
        <w:jc w:val="left"/>
      </w:pPr>
      <w:r>
        <w:rPr>
          <w:rFonts w:ascii="Arial" w:cs="Arial" w:eastAsia="Arial" w:hAnsi="Arial"/>
          <w:b w:val="false"/>
          <w:bCs w:val="false"/>
          <w:i w:val="false"/>
          <w:iCs w:val="false"/>
          <w:color w:val="000000"/>
          <w:sz w:val="22"/>
          <w:szCs w:val="22"/>
        </w:rPr>
        <w:t xml:space="preserve">KYC records were assessed against NCC subscriber registration requirements. Significant gaps were identified, concentrated in records originating from field agent onboarding channels. These records had been created under a 'minimum viable KYC' approach — sufficient to activate a SIM, but insufficient to meet regulatory standards or support downstream processes such as credit recovery.</w:t>
      </w:r>
    </w:p>
    <w:p>
      <w:pPr>
        <w:spacing w:before="0" w:after="0"/>
      </w:pPr>
      <w:r>
        <w:t xml:space="preserve"/>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7a3f" w:val="clear"/>
            <w:tcMar>
              <w:top w:type="dxa" w:w="80"/>
              <w:left w:type="dxa" w:w="0"/>
              <w:bottom w:type="dxa" w:w="80"/>
              <w:right w:type="dxa" w:w="0"/>
            </w:tcMar>
          </w:tcPr>
          <w:p>
            <w:r>
              <w:t xml:space="preserve"/>
            </w:r>
          </w:p>
        </w:tc>
        <w:tc>
          <w:tcPr>
            <w:tcW w:type="dxa" w:w="9180"/>
            <w:tcBorders>
              <w:top w:val="none" w:color="FFFFFF" w:sz="0"/>
              <w:left w:val="none" w:color="FFFFFF" w:sz="0"/>
              <w:bottom w:val="none" w:color="FFFFFF" w:sz="0"/>
              <w:right w:val="none" w:color="FFFFFF" w:sz="0"/>
            </w:tcBorders>
            <w:shd w:fill="E8F5EC" w:val="clear"/>
            <w:tcMar>
              <w:top w:type="dxa" w:w="100"/>
              <w:left w:type="dxa" w:w="200"/>
              <w:bottom w:type="dxa" w:w="100"/>
              <w:right w:type="dxa" w:w="140"/>
            </w:tcMar>
          </w:tcPr>
          <w:p>
            <w:pPr>
              <w:spacing w:before="40" w:after="40"/>
            </w:pPr>
            <w:r>
              <w:rPr>
                <w:rFonts w:ascii="Arial" w:cs="Arial" w:eastAsia="Arial" w:hAnsi="Arial"/>
                <w:b/>
                <w:bCs/>
                <w:color w:val="1a7a3f"/>
                <w:sz w:val="20"/>
                <w:szCs w:val="20"/>
              </w:rPr>
              <w:t xml:space="preserve">Critical Finding</w:t>
            </w:r>
          </w:p>
          <w:p>
            <w:pPr>
              <w:spacing w:before="0" w:after="40"/>
            </w:pPr>
            <w:r>
              <w:rPr>
                <w:rFonts w:ascii="Arial" w:cs="Arial" w:eastAsia="Arial" w:hAnsi="Arial"/>
                <w:i/>
                <w:iCs/>
                <w:color w:val="333333"/>
                <w:sz w:val="20"/>
                <w:szCs w:val="20"/>
              </w:rPr>
              <w:t xml:space="preserve">The student credit scheme (see Section 5.5) had been extended to subscribers whose KYC records did not contain sufficient data to support debt recovery in the event of default. This was a direct consequence of minimum-standard onboarding — the business had extended credit without the data infrastructure to enforce repayment.</w:t>
            </w:r>
          </w:p>
        </w:tc>
      </w:tr>
    </w:tbl>
    <w:p>
      <w:pPr>
        <w:spacing w:before="0" w:after="0"/>
      </w:pPr>
      <w:r>
        <w:t xml:space="preserve"/>
      </w:r>
    </w:p>
    <w:p>
      <w:pPr>
        <w:pStyle w:val="Heading2"/>
        <w:spacing w:before="240" w:after="120"/>
      </w:pPr>
      <w:r>
        <w:rPr>
          <w:rFonts w:ascii="Arial" w:cs="Arial" w:eastAsia="Arial" w:hAnsi="Arial"/>
          <w:b/>
          <w:bCs/>
          <w:color w:val="1a1a2e"/>
          <w:sz w:val="24"/>
          <w:szCs w:val="24"/>
        </w:rPr>
        <w:t xml:space="preserve">5.4 CRM Misclassification — Enterprise vs. Individual</w:t>
      </w:r>
    </w:p>
    <w:p>
      <w:pPr>
        <w:spacing w:before="80" w:after="80"/>
        <w:jc w:val="left"/>
      </w:pPr>
      <w:r>
        <w:rPr>
          <w:rFonts w:ascii="Arial" w:cs="Arial" w:eastAsia="Arial" w:hAnsi="Arial"/>
          <w:b w:val="false"/>
          <w:bCs w:val="false"/>
          <w:i w:val="false"/>
          <w:iCs w:val="false"/>
          <w:color w:val="000000"/>
          <w:sz w:val="22"/>
          <w:szCs w:val="22"/>
        </w:rPr>
        <w:t xml:space="preserve">Over 600 subscriber accounts were found to be incorrectly classified as individual customers in the CRM when they were, in fact, enterprise accounts. Enterprise accounts carry materially higher billing rates than individual accounts. The misclassification meant these customers had been systematically undercharged throughout their account lifetime.</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While 600+ accounts represents a fraction of the 20 million subscriber base, the financial impact was disproportionate. Enterprise billing rates are significantly higher, and the accumulated underbilling across these accounts represented a meaningful revenue leakage figure — and a forward-looking revenue understatement for the acquiring party's projections.</w:t>
      </w:r>
    </w:p>
    <w:p>
      <w:pPr>
        <w:spacing w:before="0" w:after="0"/>
      </w:pPr>
      <w:r>
        <w:t xml:space="preserve"/>
      </w:r>
    </w:p>
    <w:p>
      <w:pPr>
        <w:pStyle w:val="Heading2"/>
        <w:spacing w:before="240" w:after="120"/>
      </w:pPr>
      <w:r>
        <w:rPr>
          <w:rFonts w:ascii="Arial" w:cs="Arial" w:eastAsia="Arial" w:hAnsi="Arial"/>
          <w:b/>
          <w:bCs/>
          <w:color w:val="1a1a2e"/>
          <w:sz w:val="24"/>
          <w:szCs w:val="24"/>
        </w:rPr>
        <w:t xml:space="preserve">5.5 The Student Credit Scheme — A Case Study Within a Case Study</w:t>
      </w:r>
    </w:p>
    <w:p>
      <w:pPr>
        <w:spacing w:before="80" w:after="80"/>
        <w:jc w:val="left"/>
      </w:pPr>
      <w:r>
        <w:rPr>
          <w:rFonts w:ascii="Arial" w:cs="Arial" w:eastAsia="Arial" w:hAnsi="Arial"/>
          <w:b w:val="false"/>
          <w:bCs w:val="false"/>
          <w:i w:val="false"/>
          <w:iCs w:val="false"/>
          <w:color w:val="000000"/>
          <w:sz w:val="22"/>
          <w:szCs w:val="22"/>
        </w:rPr>
        <w:t xml:space="preserve">The operator had launched a student subscriber credit scheme, offering short-term loans of up to ₦10,000 to eligible subscribers. The scheme was commercially attractive but operationally underprepared: it had been deployed on top of a subscriber base that lacked the data depth to support credit risk assessment or debt recovery.</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When defaults occurred, recovery proved near-impossible. The company did not hold sufficient verified PII — addresses, guarantors, NINs — for a significant proportion of scheme participants. The unrecoverable debt sat on the balance sheet and was assessed by financial auditors as having limited recovery value. This directly reduced the acquisition valuation.</w:t>
      </w:r>
    </w:p>
    <w:p>
      <w:pPr>
        <w:spacing w:before="0" w:after="0"/>
      </w:pPr>
      <w:r>
        <w:t xml:space="preserve"/>
      </w:r>
    </w:p>
    <w:tbl>
      <w:tblPr>
        <w:tblW w:type="dxa" w:w="9360"/>
        <w:tblBorders>
          <w:top w:val="none"/>
          <w:left w:val="none"/>
          <w:bottom w:val="none"/>
          <w:right w:val="none"/>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f"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E8F5EC" w:val="clear"/>
            <w:tcMar>
              <w:top w:type="dxa" w:w="60"/>
              <w:left w:type="dxa" w:w="160"/>
              <w:bottom w:type="dxa" w:w="60"/>
              <w:right w:type="dxa" w:w="80"/>
            </w:tcMar>
          </w:tcPr>
          <w:p>
            <w:r>
              <w:rPr>
                <w:rFonts w:ascii="Arial" w:cs="Arial" w:eastAsia="Arial" w:hAnsi="Arial"/>
                <w:b/>
                <w:bCs/>
                <w:color w:val="1a7a3f"/>
                <w:sz w:val="20"/>
                <w:szCs w:val="20"/>
              </w:rPr>
              <w:t xml:space="preserve">Minimum KYC standard at onboarding</w:t>
            </w:r>
          </w:p>
        </w:tc>
      </w:tr>
      <w:tr>
        <w:tc>
          <w:tcPr>
            <w:tcW w:type="dxa" w:w="300"/>
            <w:tcBorders>
              <w:top w:val="none" w:color="FFFFFF" w:sz="0"/>
              <w:left w:val="none" w:color="FFFFFF" w:sz="0"/>
              <w:bottom w:val="none" w:color="FFFFFF" w:sz="0"/>
              <w:right w:val="none" w:color="FFFFFF" w:sz="0"/>
            </w:tcBorders>
            <w:shd w:fill="AAAAAA"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b w:val="false"/>
                <w:bCs w:val="false"/>
                <w:color w:val="888888"/>
                <w:sz w:val="20"/>
                <w:szCs w:val="20"/>
              </w:rPr>
              <w:t xml:space="preserve">Insufficient customer data captured</w:t>
            </w:r>
          </w:p>
        </w:tc>
      </w:tr>
      <w:tr>
        <w:tc>
          <w:tcPr>
            <w:tcW w:type="dxa" w:w="300"/>
            <w:tcBorders>
              <w:top w:val="none" w:color="FFFFFF" w:sz="0"/>
              <w:left w:val="none" w:color="FFFFFF" w:sz="0"/>
              <w:bottom w:val="none" w:color="FFFFFF" w:sz="0"/>
              <w:right w:val="none" w:color="FFFFFF" w:sz="0"/>
            </w:tcBorders>
            <w:shd w:fill="AAAAAA"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b w:val="false"/>
                <w:bCs w:val="false"/>
                <w:color w:val="888888"/>
                <w:sz w:val="20"/>
                <w:szCs w:val="20"/>
              </w:rPr>
              <w:t xml:space="preserve">Credit scheme launched on weak data foundation</w:t>
            </w:r>
          </w:p>
        </w:tc>
      </w:tr>
      <w:tr>
        <w:tc>
          <w:tcPr>
            <w:tcW w:type="dxa" w:w="300"/>
            <w:tcBorders>
              <w:top w:val="none" w:color="FFFFFF" w:sz="0"/>
              <w:left w:val="none" w:color="FFFFFF" w:sz="0"/>
              <w:bottom w:val="none" w:color="FFFFFF" w:sz="0"/>
              <w:right w:val="none" w:color="FFFFFF" w:sz="0"/>
            </w:tcBorders>
            <w:shd w:fill="AAAAAA"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b w:val="false"/>
                <w:bCs w:val="false"/>
                <w:color w:val="888888"/>
                <w:sz w:val="20"/>
                <w:szCs w:val="20"/>
              </w:rPr>
              <w:t xml:space="preserve">Defaults occurred; recovery was not possible without adequate PII</w:t>
            </w:r>
          </w:p>
        </w:tc>
      </w:tr>
      <w:tr>
        <w:tc>
          <w:tcPr>
            <w:tcW w:type="dxa" w:w="300"/>
            <w:tcBorders>
              <w:top w:val="none" w:color="FFFFFF" w:sz="0"/>
              <w:left w:val="none" w:color="FFFFFF" w:sz="0"/>
              <w:bottom w:val="none" w:color="FFFFFF" w:sz="0"/>
              <w:right w:val="none" w:color="FFFFFF" w:sz="0"/>
            </w:tcBorders>
            <w:shd w:fill="AAAAAA"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80"/>
            </w:tcMar>
          </w:tcPr>
          <w:p>
            <w:r>
              <w:rPr>
                <w:rFonts w:ascii="Arial" w:cs="Arial" w:eastAsia="Arial" w:hAnsi="Arial"/>
                <w:b w:val="false"/>
                <w:bCs w:val="false"/>
                <w:color w:val="888888"/>
                <w:sz w:val="20"/>
                <w:szCs w:val="20"/>
              </w:rPr>
              <w:t xml:space="preserve">Unrecoverable debt sat on balance sheet</w:t>
            </w:r>
          </w:p>
        </w:tc>
      </w:tr>
      <w:tr>
        <w:tc>
          <w:tcPr>
            <w:tcW w:type="dxa" w:w="300"/>
            <w:tcBorders>
              <w:top w:val="none" w:color="FFFFFF" w:sz="0"/>
              <w:left w:val="none" w:color="FFFFFF" w:sz="0"/>
              <w:bottom w:val="none" w:color="FFFFFF" w:sz="0"/>
              <w:right w:val="none" w:color="FFFFFF" w:sz="0"/>
            </w:tcBorders>
            <w:shd w:fill="CC0000"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FFF0F0" w:val="clear"/>
            <w:tcMar>
              <w:top w:type="dxa" w:w="60"/>
              <w:left w:type="dxa" w:w="160"/>
              <w:bottom w:type="dxa" w:w="60"/>
              <w:right w:type="dxa" w:w="80"/>
            </w:tcMar>
          </w:tcPr>
          <w:p>
            <w:r>
              <w:rPr>
                <w:rFonts w:ascii="Arial" w:cs="Arial" w:eastAsia="Arial" w:hAnsi="Arial"/>
                <w:b/>
                <w:bCs/>
                <w:color w:val="CC0000"/>
                <w:sz w:val="20"/>
                <w:szCs w:val="20"/>
              </w:rPr>
              <w:t xml:space="preserve">Financial auditors discounted debt recoverability in valuation</w:t>
            </w:r>
          </w:p>
        </w:tc>
      </w:tr>
      <w:tr>
        <w:tc>
          <w:tcPr>
            <w:tcW w:type="dxa" w:w="300"/>
            <w:tcBorders>
              <w:top w:val="none" w:color="FFFFFF" w:sz="0"/>
              <w:left w:val="none" w:color="FFFFFF" w:sz="0"/>
              <w:bottom w:val="none" w:color="FFFFFF" w:sz="0"/>
              <w:right w:val="none" w:color="FFFFFF" w:sz="0"/>
            </w:tcBorders>
            <w:shd w:fill="CC0000" w:val="clear"/>
            <w:tcMar>
              <w:top w:type="dxa" w:w="60"/>
              <w:left w:type="dxa" w:w="0"/>
              <w:bottom w:type="dxa" w:w="60"/>
              <w:right w:type="dxa" w:w="0"/>
            </w:tcMar>
          </w:tcPr>
          <w:p>
            <w:r>
              <w:t xml:space="preserve"/>
            </w:r>
          </w:p>
        </w:tc>
        <w:tc>
          <w:tcPr>
            <w:tcW w:type="dxa" w:w="9060"/>
            <w:tcBorders>
              <w:top w:val="none" w:color="FFFFFF" w:sz="0"/>
              <w:left w:val="none" w:color="FFFFFF" w:sz="0"/>
              <w:bottom w:val="none" w:color="FFFFFF" w:sz="0"/>
              <w:right w:val="none" w:color="FFFFFF" w:sz="0"/>
            </w:tcBorders>
            <w:shd w:fill="FFF0F0" w:val="clear"/>
            <w:tcMar>
              <w:top w:type="dxa" w:w="60"/>
              <w:left w:type="dxa" w:w="160"/>
              <w:bottom w:type="dxa" w:w="60"/>
              <w:right w:type="dxa" w:w="80"/>
            </w:tcMar>
          </w:tcPr>
          <w:p>
            <w:r>
              <w:rPr>
                <w:rFonts w:ascii="Arial" w:cs="Arial" w:eastAsia="Arial" w:hAnsi="Arial"/>
                <w:b/>
                <w:bCs/>
                <w:color w:val="CC0000"/>
                <w:sz w:val="20"/>
                <w:szCs w:val="20"/>
              </w:rPr>
              <w:t xml:space="preserve">Acquisition valuation reduced</w:t>
            </w:r>
          </w:p>
        </w:tc>
      </w:tr>
    </w:tbl>
    <w:p>
      <w:pPr>
        <w:spacing w:before="160" w:after="80"/>
        <w:jc w:val="left"/>
      </w:pPr>
      <w:r>
        <w:rPr>
          <w:rFonts w:ascii="Arial" w:cs="Arial" w:eastAsia="Arial" w:hAnsi="Arial"/>
          <w:b w:val="false"/>
          <w:bCs w:val="false"/>
          <w:i/>
          <w:iCs/>
          <w:color w:val="555555"/>
          <w:sz w:val="22"/>
          <w:szCs w:val="22"/>
        </w:rPr>
        <w:t xml:space="preserve">This causal chain — from data quality failure at the point of onboarding to financial loss at board level — is one of the clearest illustrations of data quality risk available in practice.</w:t>
      </w:r>
    </w:p>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6. Root Cause Analysis</w:t>
      </w:r>
    </w:p>
    <w:p>
      <w:pPr>
        <w:spacing w:before="80" w:after="80"/>
        <w:jc w:val="left"/>
      </w:pPr>
      <w:r>
        <w:rPr>
          <w:rFonts w:ascii="Arial" w:cs="Arial" w:eastAsia="Arial" w:hAnsi="Arial"/>
          <w:b w:val="false"/>
          <w:bCs w:val="false"/>
          <w:i w:val="false"/>
          <w:iCs w:val="false"/>
          <w:color w:val="000000"/>
          <w:sz w:val="22"/>
          <w:szCs w:val="22"/>
        </w:rPr>
        <w:t xml:space="preserve">Identifying the symptoms of poor data quality is the starting point of any audit. Understanding why those symptoms exist is what separates a data quality analyst from a data quality strategist. The following root causes were identified as the systemic drivers of the issues found.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Root Cause</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Description</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Domains Affected</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No Data Ownership</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No individual or team was formally accountable for data quality. Without ownership, there is no incentive to maintain standards and no escalation path when problems arise.</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All domains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Inconsistent Channel Standards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Field agents and service centres operated to materially different data collection standards. No unified onboarding policy existed, creating a structurally uneven subscriber base from the outset.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KYC · Duplicates · Completeness</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Minimum Viable KYC Culture</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Subscriber acquisition speed was prioritised over data completeness. The bar for onboarding was set at the minimum needed to activate a SIM, not the minimum needed to serve, govern, or recover from a customer.</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KYC · Credit Recovery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Inherited Data Debt (Prior Acquisition)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The previous ownership transition had merged subscriber databases without adequate deduplication or standardisation. Problems from that migration were never resolved and formed the contaminated baseline inherited by the current engagement.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Duplicates · Consistency</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Governance Deprioritised Post-Acquisition</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Following the prior acquisition, new leadership focused on commercial growth metrics. Data governance was not part of the strategic agenda, allowing debt to accumulate undetected until the next ownership event forced visibility.</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iCs/>
                <w:color w:val="000000"/>
                <w:sz w:val="20"/>
                <w:szCs w:val="20"/>
              </w:rPr>
              <w:t xml:space="preserve">All domains</w:t>
            </w:r>
          </w:p>
        </w:tc>
      </w:tr>
    </w:tbl>
    <w:p>
      <w:pPr>
        <w:spacing w:before="0" w:after="0"/>
      </w:pPr>
      <w:r>
        <w:t xml:space="preserve"/>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7a3f" w:val="clear"/>
            <w:tcMar>
              <w:top w:type="dxa" w:w="80"/>
              <w:left w:type="dxa" w:w="0"/>
              <w:bottom w:type="dxa" w:w="80"/>
              <w:right w:type="dxa" w:w="0"/>
            </w:tcMar>
          </w:tcPr>
          <w:p>
            <w:r>
              <w:t xml:space="preserve"/>
            </w:r>
          </w:p>
        </w:tc>
        <w:tc>
          <w:tcPr>
            <w:tcW w:type="dxa" w:w="9180"/>
            <w:tcBorders>
              <w:top w:val="none" w:color="FFFFFF" w:sz="0"/>
              <w:left w:val="none" w:color="FFFFFF" w:sz="0"/>
              <w:bottom w:val="none" w:color="FFFFFF" w:sz="0"/>
              <w:right w:val="none" w:color="FFFFFF" w:sz="0"/>
            </w:tcBorders>
            <w:shd w:fill="E8F5EC" w:val="clear"/>
            <w:tcMar>
              <w:top w:type="dxa" w:w="100"/>
              <w:left w:type="dxa" w:w="200"/>
              <w:bottom w:type="dxa" w:w="100"/>
              <w:right w:type="dxa" w:w="140"/>
            </w:tcMar>
          </w:tcPr>
          <w:p>
            <w:pPr>
              <w:spacing w:before="40" w:after="40"/>
            </w:pPr>
            <w:r>
              <w:rPr>
                <w:rFonts w:ascii="Arial" w:cs="Arial" w:eastAsia="Arial" w:hAnsi="Arial"/>
                <w:b/>
                <w:bCs/>
                <w:color w:val="1a7a3f"/>
                <w:sz w:val="20"/>
                <w:szCs w:val="20"/>
              </w:rPr>
              <w:t xml:space="preserve">Key Insight</w:t>
            </w:r>
          </w:p>
          <w:p>
            <w:pPr>
              <w:spacing w:before="0" w:after="40"/>
            </w:pPr>
            <w:r>
              <w:rPr>
                <w:rFonts w:ascii="Arial" w:cs="Arial" w:eastAsia="Arial" w:hAnsi="Arial"/>
                <w:i/>
                <w:iCs/>
                <w:color w:val="333333"/>
                <w:sz w:val="20"/>
                <w:szCs w:val="20"/>
              </w:rPr>
              <w:t xml:space="preserve">These root causes are systemic, not accidental. The data problems were the cumulative result of organisational decisions made over several years — prioritising speed and growth over integrity. Fixing the data without addressing the underlying causes would have produced a clean dataset that degraded again within 12–18 months.</w:t>
            </w:r>
          </w:p>
        </w:tc>
      </w:tr>
    </w:tbl>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7. Recommendations &amp; Frameworks Delivered</w:t>
      </w:r>
    </w:p>
    <w:p>
      <w:pPr>
        <w:spacing w:before="80" w:after="80"/>
        <w:jc w:val="left"/>
      </w:pPr>
      <w:r>
        <w:rPr>
          <w:rFonts w:ascii="Arial" w:cs="Arial" w:eastAsia="Arial" w:hAnsi="Arial"/>
          <w:b w:val="false"/>
          <w:bCs w:val="false"/>
          <w:i w:val="false"/>
          <w:iCs w:val="false"/>
          <w:color w:val="000000"/>
          <w:sz w:val="22"/>
          <w:szCs w:val="22"/>
        </w:rPr>
        <w:t xml:space="preserve">The engagement did not stop at findings. The team designed and delivered a set of frameworks and policy changes intended to address the root causes identified — ensuring that the clean data produced by the audit would not degrade back to its prior state.</w:t>
      </w:r>
    </w:p>
    <w:p>
      <w:pPr>
        <w:spacing w:before="0" w:after="0"/>
      </w:pPr>
      <w:r>
        <w:t xml:space="preserve"/>
      </w:r>
    </w:p>
    <w:p>
      <w:pPr>
        <w:pStyle w:val="Heading2"/>
        <w:spacing w:before="240" w:after="120"/>
      </w:pPr>
      <w:r>
        <w:rPr>
          <w:rFonts w:ascii="Arial" w:cs="Arial" w:eastAsia="Arial" w:hAnsi="Arial"/>
          <w:b/>
          <w:bCs/>
          <w:color w:val="1a1a2e"/>
          <w:sz w:val="24"/>
          <w:szCs w:val="24"/>
        </w:rPr>
        <w:t xml:space="preserve">7.1 Customer Data Lifecycle Framework</w:t>
      </w:r>
    </w:p>
    <w:p>
      <w:pPr>
        <w:spacing w:before="80" w:after="80"/>
        <w:jc w:val="left"/>
      </w:pPr>
      <w:r>
        <w:rPr>
          <w:rFonts w:ascii="Arial" w:cs="Arial" w:eastAsia="Arial" w:hAnsi="Arial"/>
          <w:b w:val="false"/>
          <w:bCs w:val="false"/>
          <w:i w:val="false"/>
          <w:iCs w:val="false"/>
          <w:color w:val="000000"/>
          <w:sz w:val="22"/>
          <w:szCs w:val="22"/>
        </w:rPr>
        <w:t xml:space="preserve">A formal framework was designed to govern subscriber data from initial onboarding through to account inactivity or closure. Key principles embedded in the framework:</w:t>
      </w:r>
    </w:p>
    <w:p>
      <w:pPr>
        <w:spacing w:before="0" w:after="0"/>
      </w:pPr>
      <w:r>
        <w:t xml:space="preserve"/>
      </w:r>
    </w:p>
    <w:p>
      <w:pPr>
        <w:pStyle w:val="ListParagraph"/>
        <w:numPr>
          <w:ilvl w:val="0"/>
          <w:numId w:val="2"/>
        </w:numPr>
        <w:spacing w:before="40" w:after="40"/>
      </w:pPr>
      <w:r>
        <w:rPr>
          <w:rFonts w:ascii="Arial" w:cs="Arial" w:eastAsia="Arial" w:hAnsi="Arial"/>
          <w:b/>
          <w:bCs/>
          <w:sz w:val="22"/>
          <w:szCs w:val="22"/>
        </w:rPr>
        <w:t xml:space="preserve">Standardised onboarding data requirements — </w:t>
      </w:r>
      <w:r>
        <w:rPr>
          <w:rFonts w:ascii="Arial" w:cs="Arial" w:eastAsia="Arial" w:hAnsi="Arial"/>
          <w:sz w:val="22"/>
          <w:szCs w:val="22"/>
        </w:rPr>
        <w:t xml:space="preserve">a single, channel-agnostic set of minimum PII fields required at the point of subscriber registration, applicable to all onboarding routes.</w:t>
      </w:r>
    </w:p>
    <w:p>
      <w:pPr>
        <w:pStyle w:val="ListParagraph"/>
        <w:numPr>
          <w:ilvl w:val="0"/>
          <w:numId w:val="2"/>
        </w:numPr>
        <w:spacing w:before="40" w:after="40"/>
      </w:pPr>
      <w:r>
        <w:rPr>
          <w:rFonts w:ascii="Arial" w:cs="Arial" w:eastAsia="Arial" w:hAnsi="Arial"/>
          <w:b/>
          <w:bCs/>
          <w:sz w:val="22"/>
          <w:szCs w:val="22"/>
        </w:rPr>
        <w:t xml:space="preserve">Two-tier onboarding model — </w:t>
      </w:r>
      <w:r>
        <w:rPr>
          <w:rFonts w:ascii="Arial" w:cs="Arial" w:eastAsia="Arial" w:hAnsi="Arial"/>
          <w:sz w:val="22"/>
          <w:szCs w:val="22"/>
        </w:rPr>
        <w:t xml:space="preserve">field agents retained the ability to perform rapid onboarding (preserving the speed advantage critical for market reach in Nigeria), but field-registered subscribers were required to attend a service centre within 90 days to complete their full registration. This balanced operational pragmatism with data completeness.</w:t>
      </w:r>
    </w:p>
    <w:p>
      <w:pPr>
        <w:pStyle w:val="ListParagraph"/>
        <w:numPr>
          <w:ilvl w:val="0"/>
          <w:numId w:val="2"/>
        </w:numPr>
        <w:spacing w:before="40" w:after="40"/>
      </w:pPr>
      <w:r>
        <w:rPr>
          <w:rFonts w:ascii="Arial" w:cs="Arial" w:eastAsia="Arial" w:hAnsi="Arial"/>
          <w:b/>
          <w:bCs/>
          <w:sz w:val="22"/>
          <w:szCs w:val="22"/>
        </w:rPr>
        <w:t xml:space="preserve">Active/inactive lifecycle transitions — </w:t>
      </w:r>
      <w:r>
        <w:rPr>
          <w:rFonts w:ascii="Arial" w:cs="Arial" w:eastAsia="Arial" w:hAnsi="Arial"/>
          <w:sz w:val="22"/>
          <w:szCs w:val="22"/>
        </w:rPr>
        <w:t xml:space="preserve">formal rules governing when a subscriber transitions between states, and what actions are triggered at each transition (e.g. re-engagement communications, account suspension, write-off preparation).</w:t>
      </w:r>
    </w:p>
    <w:p>
      <w:pPr>
        <w:pStyle w:val="ListParagraph"/>
        <w:numPr>
          <w:ilvl w:val="0"/>
          <w:numId w:val="2"/>
        </w:numPr>
        <w:spacing w:before="40" w:after="40"/>
      </w:pPr>
      <w:r>
        <w:rPr>
          <w:rFonts w:ascii="Arial" w:cs="Arial" w:eastAsia="Arial" w:hAnsi="Arial"/>
          <w:b/>
          <w:bCs/>
          <w:sz w:val="22"/>
          <w:szCs w:val="22"/>
        </w:rPr>
        <w:t xml:space="preserve">Data retention and disposal standards — </w:t>
      </w:r>
      <w:r>
        <w:rPr>
          <w:rFonts w:ascii="Arial" w:cs="Arial" w:eastAsia="Arial" w:hAnsi="Arial"/>
          <w:sz w:val="22"/>
          <w:szCs w:val="22"/>
        </w:rPr>
        <w:t xml:space="preserve">governance rules for how long inactive subscriber records are retained before archiving or deletion, aligned to NCC regulatory requirements.</w:t>
      </w:r>
    </w:p>
    <w:p>
      <w:pPr>
        <w:spacing w:before="0" w:after="0"/>
      </w:pPr>
      <w:r>
        <w:t xml:space="preserve"/>
      </w:r>
    </w:p>
    <w:p>
      <w:pPr>
        <w:pStyle w:val="Heading2"/>
        <w:spacing w:before="240" w:after="120"/>
      </w:pPr>
      <w:r>
        <w:rPr>
          <w:rFonts w:ascii="Arial" w:cs="Arial" w:eastAsia="Arial" w:hAnsi="Arial"/>
          <w:b/>
          <w:bCs/>
          <w:color w:val="1a1a2e"/>
          <w:sz w:val="24"/>
          <w:szCs w:val="24"/>
        </w:rPr>
        <w:t xml:space="preserve">7.2 Revised KYC Standard</w:t>
      </w:r>
    </w:p>
    <w:p>
      <w:pPr>
        <w:spacing w:before="80" w:after="80"/>
        <w:jc w:val="left"/>
      </w:pPr>
      <w:r>
        <w:rPr>
          <w:rFonts w:ascii="Arial" w:cs="Arial" w:eastAsia="Arial" w:hAnsi="Arial"/>
          <w:b w:val="false"/>
          <w:bCs w:val="false"/>
          <w:i w:val="false"/>
          <w:iCs w:val="false"/>
          <w:color w:val="000000"/>
          <w:sz w:val="22"/>
          <w:szCs w:val="22"/>
        </w:rPr>
        <w:t xml:space="preserve">Internal KYC standards were updated to align with NCC regulatory requirements and to support downstream business needs — specifically credit and debt recovery processes. The revised standard included:</w:t>
      </w:r>
    </w:p>
    <w:p>
      <w:pPr>
        <w:spacing w:before="0" w:after="0"/>
      </w:pPr>
      <w:r>
        <w:t xml:space="preserve"/>
      </w:r>
    </w:p>
    <w:p>
      <w:pPr>
        <w:pStyle w:val="ListParagraph"/>
        <w:numPr>
          <w:ilvl w:val="0"/>
          <w:numId w:val="2"/>
        </w:numPr>
        <w:spacing w:before="40" w:after="40"/>
      </w:pPr>
      <w:r>
        <w:rPr>
          <w:rFonts w:ascii="Arial" w:cs="Arial" w:eastAsia="Arial" w:hAnsi="Arial"/>
          <w:sz w:val="22"/>
          <w:szCs w:val="22"/>
        </w:rPr>
        <w:t xml:space="preserve">Mandatory NIN capture at registration (aligned to NCC NIN-SIM linkage policy)</w:t>
      </w:r>
    </w:p>
    <w:p>
      <w:pPr>
        <w:pStyle w:val="ListParagraph"/>
        <w:numPr>
          <w:ilvl w:val="0"/>
          <w:numId w:val="2"/>
        </w:numPr>
        <w:spacing w:before="40" w:after="40"/>
      </w:pPr>
      <w:r>
        <w:rPr>
          <w:rFonts w:ascii="Arial" w:cs="Arial" w:eastAsia="Arial" w:hAnsi="Arial"/>
          <w:sz w:val="22"/>
          <w:szCs w:val="22"/>
        </w:rPr>
        <w:t xml:space="preserve">Minimum address verification requirement, with a structured format to enable matching</w:t>
      </w:r>
    </w:p>
    <w:p>
      <w:pPr>
        <w:pStyle w:val="ListParagraph"/>
        <w:numPr>
          <w:ilvl w:val="0"/>
          <w:numId w:val="2"/>
        </w:numPr>
        <w:spacing w:before="40" w:after="40"/>
      </w:pPr>
      <w:r>
        <w:rPr>
          <w:rFonts w:ascii="Arial" w:cs="Arial" w:eastAsia="Arial" w:hAnsi="Arial"/>
          <w:sz w:val="22"/>
          <w:szCs w:val="22"/>
        </w:rPr>
        <w:t xml:space="preserve">Secondary contact number capture for all accounts above a defined usage threshold</w:t>
      </w:r>
    </w:p>
    <w:p>
      <w:pPr>
        <w:pStyle w:val="ListParagraph"/>
        <w:numPr>
          <w:ilvl w:val="0"/>
          <w:numId w:val="2"/>
        </w:numPr>
        <w:spacing w:before="40" w:after="40"/>
      </w:pPr>
      <w:r>
        <w:rPr>
          <w:rFonts w:ascii="Arial" w:cs="Arial" w:eastAsia="Arial" w:hAnsi="Arial"/>
          <w:sz w:val="22"/>
          <w:szCs w:val="22"/>
        </w:rPr>
        <w:t xml:space="preserve">Enterprise account identification criteria formalised and embedded in the CRM workflow to prevent future misclassification</w:t>
      </w:r>
    </w:p>
    <w:p>
      <w:pPr>
        <w:spacing w:before="0" w:after="0"/>
      </w:pPr>
      <w:r>
        <w:t xml:space="preserve"/>
      </w:r>
    </w:p>
    <w:p>
      <w:pPr>
        <w:pStyle w:val="Heading2"/>
        <w:spacing w:before="240" w:after="120"/>
      </w:pPr>
      <w:r>
        <w:rPr>
          <w:rFonts w:ascii="Arial" w:cs="Arial" w:eastAsia="Arial" w:hAnsi="Arial"/>
          <w:b/>
          <w:bCs/>
          <w:color w:val="1a1a2e"/>
          <w:sz w:val="24"/>
          <w:szCs w:val="24"/>
        </w:rPr>
        <w:t xml:space="preserve">7.3 Data Stewardship Structure</w:t>
      </w:r>
    </w:p>
    <w:p>
      <w:pPr>
        <w:spacing w:before="80" w:after="80"/>
        <w:jc w:val="left"/>
      </w:pPr>
      <w:r>
        <w:rPr>
          <w:rFonts w:ascii="Arial" w:cs="Arial" w:eastAsia="Arial" w:hAnsi="Arial"/>
          <w:b w:val="false"/>
          <w:bCs w:val="false"/>
          <w:i w:val="false"/>
          <w:iCs w:val="false"/>
          <w:color w:val="000000"/>
          <w:sz w:val="22"/>
          <w:szCs w:val="22"/>
        </w:rPr>
        <w:t xml:space="preserve">A basic data stewardship model was designed and assigned using Collibra as the governance platform. This included:</w:t>
      </w:r>
    </w:p>
    <w:p>
      <w:pPr>
        <w:spacing w:before="0" w:after="0"/>
      </w:pPr>
      <w:r>
        <w:t xml:space="preserve"/>
      </w:r>
    </w:p>
    <w:p>
      <w:pPr>
        <w:pStyle w:val="ListParagraph"/>
        <w:numPr>
          <w:ilvl w:val="0"/>
          <w:numId w:val="2"/>
        </w:numPr>
        <w:spacing w:before="40" w:after="40"/>
      </w:pPr>
      <w:r>
        <w:rPr>
          <w:rFonts w:ascii="Arial" w:cs="Arial" w:eastAsia="Arial" w:hAnsi="Arial"/>
          <w:b/>
          <w:bCs/>
          <w:sz w:val="22"/>
          <w:szCs w:val="22"/>
        </w:rPr>
        <w:t xml:space="preserve">Data domain ownership — </w:t>
      </w:r>
      <w:r>
        <w:rPr>
          <w:rFonts w:ascii="Arial" w:cs="Arial" w:eastAsia="Arial" w:hAnsi="Arial"/>
          <w:sz w:val="22"/>
          <w:szCs w:val="22"/>
        </w:rPr>
        <w:t xml:space="preserve">each data domain (subscriber, billing, KYC, network) assigned a named business owner accountable for ongoing quality.</w:t>
      </w:r>
    </w:p>
    <w:p>
      <w:pPr>
        <w:pStyle w:val="ListParagraph"/>
        <w:numPr>
          <w:ilvl w:val="0"/>
          <w:numId w:val="2"/>
        </w:numPr>
        <w:spacing w:before="40" w:after="40"/>
      </w:pPr>
      <w:r>
        <w:rPr>
          <w:rFonts w:ascii="Arial" w:cs="Arial" w:eastAsia="Arial" w:hAnsi="Arial"/>
          <w:b/>
          <w:bCs/>
          <w:sz w:val="22"/>
          <w:szCs w:val="22"/>
        </w:rPr>
        <w:t xml:space="preserve">Critical Data Element documentation — </w:t>
      </w:r>
      <w:r>
        <w:rPr>
          <w:rFonts w:ascii="Arial" w:cs="Arial" w:eastAsia="Arial" w:hAnsi="Arial"/>
          <w:sz w:val="22"/>
          <w:szCs w:val="22"/>
        </w:rPr>
        <w:t xml:space="preserve">key business terms (including the formally defined 'active subscriber') documented in a business glossary and published to relevant stakeholders.</w:t>
      </w:r>
    </w:p>
    <w:p>
      <w:pPr>
        <w:pStyle w:val="ListParagraph"/>
        <w:numPr>
          <w:ilvl w:val="0"/>
          <w:numId w:val="2"/>
        </w:numPr>
        <w:spacing w:before="40" w:after="40"/>
      </w:pPr>
      <w:r>
        <w:rPr>
          <w:rFonts w:ascii="Arial" w:cs="Arial" w:eastAsia="Arial" w:hAnsi="Arial"/>
          <w:b/>
          <w:bCs/>
          <w:sz w:val="22"/>
          <w:szCs w:val="22"/>
        </w:rPr>
        <w:t xml:space="preserve">Escalation path — </w:t>
      </w:r>
      <w:r>
        <w:rPr>
          <w:rFonts w:ascii="Arial" w:cs="Arial" w:eastAsia="Arial" w:hAnsi="Arial"/>
          <w:sz w:val="22"/>
          <w:szCs w:val="22"/>
        </w:rPr>
        <w:t xml:space="preserve">a defined process for raising and resolving data quality issues, ensuring problems surface through governance channels rather than being ignored.</w:t>
      </w:r>
    </w:p>
    <w:p>
      <w:pPr>
        <w:spacing w:before="0" w:after="0"/>
      </w:pPr>
      <w:r>
        <w:t xml:space="preserve"/>
      </w:r>
    </w:p>
    <w:p>
      <w:pPr>
        <w:pStyle w:val="Heading2"/>
        <w:spacing w:before="240" w:after="120"/>
      </w:pPr>
      <w:r>
        <w:rPr>
          <w:rFonts w:ascii="Arial" w:cs="Arial" w:eastAsia="Arial" w:hAnsi="Arial"/>
          <w:b/>
          <w:bCs/>
          <w:color w:val="1a1a2e"/>
          <w:sz w:val="24"/>
          <w:szCs w:val="24"/>
        </w:rPr>
        <w:t xml:space="preserve">7.4 Data Quality Monitoring Framework</w:t>
      </w:r>
    </w:p>
    <w:p>
      <w:pPr>
        <w:spacing w:before="80" w:after="80"/>
        <w:jc w:val="left"/>
      </w:pPr>
      <w:r>
        <w:rPr>
          <w:rFonts w:ascii="Arial" w:cs="Arial" w:eastAsia="Arial" w:hAnsi="Arial"/>
          <w:b w:val="false"/>
          <w:bCs w:val="false"/>
          <w:i w:val="false"/>
          <w:iCs w:val="false"/>
          <w:color w:val="000000"/>
          <w:sz w:val="22"/>
          <w:szCs w:val="22"/>
        </w:rPr>
        <w:t xml:space="preserve">A set of ongoing data quality KPIs was defined and built into a Power BI monitoring dashboard, enabling the client to track the health of their subscriber data on an ongoing basis post-engagement. Metrics included duplicate rate, KYC completeness score, active/inactive ratio, and CRM classification accuracy.</w:t>
      </w:r>
    </w:p>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8. Implementation &amp; Post-Engagement Monitoring</w:t>
      </w:r>
    </w:p>
    <w:p>
      <w:pPr>
        <w:pStyle w:val="Heading2"/>
        <w:spacing w:before="240" w:after="120"/>
      </w:pPr>
      <w:r>
        <w:rPr>
          <w:rFonts w:ascii="Arial" w:cs="Arial" w:eastAsia="Arial" w:hAnsi="Arial"/>
          <w:b/>
          <w:bCs/>
          <w:color w:val="1a1a2e"/>
          <w:sz w:val="24"/>
          <w:szCs w:val="24"/>
        </w:rPr>
        <w:t xml:space="preserve">8.1 The 15-Day Onboarding Pause</w:t>
      </w:r>
    </w:p>
    <w:p>
      <w:pPr>
        <w:spacing w:before="80" w:after="80"/>
        <w:jc w:val="left"/>
      </w:pPr>
      <w:r>
        <w:rPr>
          <w:rFonts w:ascii="Arial" w:cs="Arial" w:eastAsia="Arial" w:hAnsi="Arial"/>
          <w:b w:val="false"/>
          <w:bCs w:val="false"/>
          <w:i w:val="false"/>
          <w:iCs w:val="false"/>
          <w:color w:val="000000"/>
          <w:sz w:val="22"/>
          <w:szCs w:val="22"/>
        </w:rPr>
        <w:t xml:space="preserve">The decision to halt new subscriber onboarding for the first 15 days of the engagement was one of the most operationally significant recommendations of the project. In an industry where subscriber acquisition is the primary growth metric, pausing that activity entirely is not a decision taken lightly — nor one that is accepted without strong justification.</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acceptance of this recommendation by the client is itself evidence of the credibility and commercial weight of the findings. The pause allowed the team to establish a clean, stable baseline for the audit without the ongoing contamination of new (non-compliant) registrations.</w:t>
      </w:r>
    </w:p>
    <w:p>
      <w:pPr>
        <w:spacing w:before="0" w:after="0"/>
      </w:pPr>
      <w:r>
        <w:t xml:space="preserve"/>
      </w:r>
    </w:p>
    <w:p>
      <w:pPr>
        <w:pStyle w:val="Heading2"/>
        <w:spacing w:before="240" w:after="120"/>
      </w:pPr>
      <w:r>
        <w:rPr>
          <w:rFonts w:ascii="Arial" w:cs="Arial" w:eastAsia="Arial" w:hAnsi="Arial"/>
          <w:b/>
          <w:bCs/>
          <w:color w:val="1a1a2e"/>
          <w:sz w:val="24"/>
          <w:szCs w:val="24"/>
        </w:rPr>
        <w:t xml:space="preserve">8.2 30-Day Post-Implementation Monitoring</w:t>
      </w:r>
    </w:p>
    <w:p>
      <w:pPr>
        <w:spacing w:before="80" w:after="80"/>
        <w:jc w:val="left"/>
      </w:pPr>
      <w:r>
        <w:rPr>
          <w:rFonts w:ascii="Arial" w:cs="Arial" w:eastAsia="Arial" w:hAnsi="Arial"/>
          <w:b w:val="false"/>
          <w:bCs w:val="false"/>
          <w:i w:val="false"/>
          <w:iCs w:val="false"/>
          <w:color w:val="000000"/>
          <w:sz w:val="22"/>
          <w:szCs w:val="22"/>
        </w:rPr>
        <w:t xml:space="preserve">Following the delivery of the frameworks and revised standards, the team remained engaged for a 30-day monitoring period to validate adoption and measure early performance against the new quality KPIs. This is a critical element of any governance engagement — frameworks that are designed but not monitored frequently revert to prior behaviour within weeks.</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The monitoring period provided an early indication of whether the root causes had been adequately addressed, and gave the client's internal team the support and confidence needed to operate the new standards independently thereafter.</w:t>
      </w:r>
    </w:p>
    <w:p>
      <w:pPr>
        <w:spacing w:before="0" w:after="0"/>
      </w:pPr>
      <w:r>
        <w:t xml:space="preserve"/>
      </w:r>
    </w:p>
    <w:p>
      <w:pPr>
        <w:pStyle w:val="Heading2"/>
        <w:spacing w:before="240" w:after="120"/>
      </w:pPr>
      <w:r>
        <w:rPr>
          <w:rFonts w:ascii="Arial" w:cs="Arial" w:eastAsia="Arial" w:hAnsi="Arial"/>
          <w:b/>
          <w:bCs/>
          <w:color w:val="1a1a2e"/>
          <w:sz w:val="24"/>
          <w:szCs w:val="24"/>
        </w:rPr>
        <w:t xml:space="preserve">8.3 Enterprise-Wide Data Awareness Training</w:t>
      </w:r>
    </w:p>
    <w:p>
      <w:pPr>
        <w:spacing w:before="80" w:after="80"/>
        <w:jc w:val="left"/>
      </w:pPr>
      <w:r>
        <w:rPr>
          <w:rFonts w:ascii="Arial" w:cs="Arial" w:eastAsia="Arial" w:hAnsi="Arial"/>
          <w:b w:val="false"/>
          <w:bCs w:val="false"/>
          <w:i w:val="false"/>
          <w:iCs w:val="false"/>
          <w:color w:val="000000"/>
          <w:sz w:val="22"/>
          <w:szCs w:val="22"/>
        </w:rPr>
        <w:t xml:space="preserve">In-house training sessions were delivered to operational and management staff across the organisation. The training programme covered:</w:t>
      </w:r>
    </w:p>
    <w:p>
      <w:pPr>
        <w:spacing w:before="0" w:after="0"/>
      </w:pPr>
      <w:r>
        <w:t xml:space="preserve"/>
      </w:r>
    </w:p>
    <w:p>
      <w:pPr>
        <w:pStyle w:val="ListParagraph"/>
        <w:numPr>
          <w:ilvl w:val="0"/>
          <w:numId w:val="2"/>
        </w:numPr>
        <w:spacing w:before="40" w:after="40"/>
      </w:pPr>
      <w:r>
        <w:rPr>
          <w:rFonts w:ascii="Arial" w:cs="Arial" w:eastAsia="Arial" w:hAnsi="Arial"/>
          <w:b/>
          <w:bCs/>
          <w:sz w:val="22"/>
          <w:szCs w:val="22"/>
        </w:rPr>
        <w:t xml:space="preserve">NCC Regulatory Requirements — </w:t>
      </w:r>
      <w:r>
        <w:rPr>
          <w:rFonts w:ascii="Arial" w:cs="Arial" w:eastAsia="Arial" w:hAnsi="Arial"/>
          <w:sz w:val="22"/>
          <w:szCs w:val="22"/>
        </w:rPr>
        <w:t xml:space="preserve">what the regulations require, why they exist, and what non-compliance costs the business in financial and reputational terms.</w:t>
      </w:r>
    </w:p>
    <w:p>
      <w:pPr>
        <w:pStyle w:val="ListParagraph"/>
        <w:numPr>
          <w:ilvl w:val="0"/>
          <w:numId w:val="2"/>
        </w:numPr>
        <w:spacing w:before="40" w:after="40"/>
      </w:pPr>
      <w:r>
        <w:rPr>
          <w:rFonts w:ascii="Arial" w:cs="Arial" w:eastAsia="Arial" w:hAnsi="Arial"/>
          <w:b/>
          <w:bCs/>
          <w:sz w:val="22"/>
          <w:szCs w:val="22"/>
        </w:rPr>
        <w:t xml:space="preserve">Current State Scorecard — </w:t>
      </w:r>
      <w:r>
        <w:rPr>
          <w:rFonts w:ascii="Arial" w:cs="Arial" w:eastAsia="Arial" w:hAnsi="Arial"/>
          <w:sz w:val="22"/>
          <w:szCs w:val="22"/>
        </w:rPr>
        <w:t xml:space="preserve">an honest presentation of the findings from the audit, giving staff visibility of the state of the data they had been working with.</w:t>
      </w:r>
    </w:p>
    <w:p>
      <w:pPr>
        <w:pStyle w:val="ListParagraph"/>
        <w:numPr>
          <w:ilvl w:val="0"/>
          <w:numId w:val="2"/>
        </w:numPr>
        <w:spacing w:before="40" w:after="40"/>
      </w:pPr>
      <w:r>
        <w:rPr>
          <w:rFonts w:ascii="Arial" w:cs="Arial" w:eastAsia="Arial" w:hAnsi="Arial"/>
          <w:b/>
          <w:bCs/>
          <w:sz w:val="22"/>
          <w:szCs w:val="22"/>
        </w:rPr>
        <w:t xml:space="preserve">Forward Projections — </w:t>
      </w:r>
      <w:r>
        <w:rPr>
          <w:rFonts w:ascii="Arial" w:cs="Arial" w:eastAsia="Arial" w:hAnsi="Arial"/>
          <w:sz w:val="22"/>
          <w:szCs w:val="22"/>
        </w:rPr>
        <w:t xml:space="preserve">what the subscriber base and KYC compliance position should look like at 90 days and 12 months if the new standards are adopted consistently.</w:t>
      </w:r>
    </w:p>
    <w:p>
      <w:pPr>
        <w:pStyle w:val="ListParagraph"/>
        <w:numPr>
          <w:ilvl w:val="0"/>
          <w:numId w:val="2"/>
        </w:numPr>
        <w:spacing w:before="40" w:after="40"/>
      </w:pPr>
      <w:r>
        <w:rPr>
          <w:rFonts w:ascii="Arial" w:cs="Arial" w:eastAsia="Arial" w:hAnsi="Arial"/>
          <w:b/>
          <w:bCs/>
          <w:sz w:val="22"/>
          <w:szCs w:val="22"/>
        </w:rPr>
        <w:t xml:space="preserve">Enterprise-Wide Data Stewardship — </w:t>
      </w:r>
      <w:r>
        <w:rPr>
          <w:rFonts w:ascii="Arial" w:cs="Arial" w:eastAsia="Arial" w:hAnsi="Arial"/>
          <w:sz w:val="22"/>
          <w:szCs w:val="22"/>
        </w:rPr>
        <w:t xml:space="preserve">what data ownership means in practice, who owns what, and how to escalate data quality issues.</w:t>
      </w:r>
    </w:p>
    <w:p>
      <w:pPr>
        <w:pStyle w:val="ListParagraph"/>
        <w:numPr>
          <w:ilvl w:val="0"/>
          <w:numId w:val="2"/>
        </w:numPr>
        <w:spacing w:before="40" w:after="40"/>
      </w:pPr>
      <w:r>
        <w:rPr>
          <w:rFonts w:ascii="Arial" w:cs="Arial" w:eastAsia="Arial" w:hAnsi="Arial"/>
          <w:b/>
          <w:bCs/>
          <w:sz w:val="22"/>
          <w:szCs w:val="22"/>
        </w:rPr>
        <w:t xml:space="preserve">KYC Implementation — </w:t>
      </w:r>
      <w:r>
        <w:rPr>
          <w:rFonts w:ascii="Arial" w:cs="Arial" w:eastAsia="Arial" w:hAnsi="Arial"/>
          <w:sz w:val="22"/>
          <w:szCs w:val="22"/>
        </w:rPr>
        <w:t xml:space="preserve">practical guidance on the revised onboarding standards for operational staff, including the two-tier field agent model.</w:t>
      </w:r>
    </w:p>
    <w:p>
      <w:pPr>
        <w:spacing w:before="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Training was delivered in Nigeria by members of the team. Content development was a shared team responsibility, including my own contribution to the programme design and materials.</w:t>
      </w:r>
    </w:p>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9. Business Impact</w:t>
      </w:r>
    </w:p>
    <w:p>
      <w:pPr>
        <w:spacing w:before="80" w:after="80"/>
        <w:jc w:val="left"/>
      </w:pPr>
      <w:r>
        <w:rPr>
          <w:rFonts w:ascii="Arial" w:cs="Arial" w:eastAsia="Arial" w:hAnsi="Arial"/>
          <w:b w:val="false"/>
          <w:bCs w:val="false"/>
          <w:i w:val="false"/>
          <w:iCs w:val="false"/>
          <w:color w:val="000000"/>
          <w:sz w:val="22"/>
          <w:szCs w:val="22"/>
        </w:rPr>
        <w:t xml:space="preserve">The impact of this engagement was felt at multiple levels of the organisation — operational, regulatory, and commercial. The following summarises the key outcomes.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Impact Area</w:t>
            </w:r>
          </w:p>
        </w:tc>
        <w:tc>
          <w:tcPr>
            <w:tcBorders>
              <w:top w:val="single" w:color="DDDDDD" w:sz="1"/>
              <w:left w:val="single" w:color="DDDDDD" w:sz="1"/>
              <w:bottom w:val="single" w:color="DDDDDD" w:sz="1"/>
              <w:right w:val="single" w:color="DDDDDD" w:sz="1"/>
            </w:tcBorders>
            <w:shd w:fill="1a7a3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Detail</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Acquisition Valuation</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The true active subscriber base was established at ~14.2M against a reported 20M. This materially adjusted the commercial value of the primary asset being acquired and informed deal structuring by the incoming ownership.</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Credit Risk Visibility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The student credit scheme's unrecoverable debt was quantified and assessed. Financial auditors were able to apply a realistic recoverability discount to the outstanding balance, preventing the acquiring party from inheriting an overstated asset.</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Revenue Leakage Identified</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600+ enterprise accounts previously billed at individual rates were identified and corrected. Forward billing accuracy for the highest-value subscriber segment was restored.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Regulatory Compliance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KYC records were brought into alignment with NCC standards, reducing the operator's regulatory exposure and improving the compliance profile presented to the incoming ownership.</w:t>
            </w:r>
          </w:p>
        </w:tc>
      </w:tr>
      <w:tr>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Governance Foundation</w:t>
            </w:r>
          </w:p>
        </w:tc>
        <w:tc>
          <w:tcPr>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For the first time, the operator had a formal data ownership structure, a business glossary, a data quality monitoring dashboard, and a lifecycle framework governing how subscriber data is managed end-to-end.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00000"/>
                <w:sz w:val="20"/>
                <w:szCs w:val="20"/>
              </w:rPr>
              <w:t xml:space="preserve">Operational Resilience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000000"/>
                <w:sz w:val="20"/>
                <w:szCs w:val="20"/>
              </w:rPr>
              <w:t xml:space="preserve">The two-tier onboarding model preserved field agent speed while building in a compliance completion step — a pragmatic, implementable solution that did not sacrifice commercial agility for governance rigour.</w:t>
            </w:r>
          </w:p>
        </w:tc>
      </w:tr>
    </w:tbl>
    <w:p>
      <w:r>
        <w:br w:type="page"/>
      </w:r>
    </w:p>
    <w:p>
      <w:pPr>
        <w:pStyle w:val="Heading1"/>
        <w:pBdr>
          <w:bottom w:val="single" w:color="1a7a3f" w:sz="6" w:space="4"/>
        </w:pBdr>
        <w:spacing w:before="360" w:after="160"/>
      </w:pPr>
      <w:r>
        <w:rPr>
          <w:rFonts w:ascii="Arial" w:cs="Arial" w:eastAsia="Arial" w:hAnsi="Arial"/>
          <w:b/>
          <w:bCs/>
          <w:color w:val="1a7a3f"/>
          <w:sz w:val="30"/>
          <w:szCs w:val="30"/>
        </w:rPr>
        <w:t xml:space="preserve">10. Lessons Learned &amp; Reflections</w:t>
      </w:r>
    </w:p>
    <w:p>
      <w:pPr>
        <w:spacing w:before="80" w:after="80"/>
        <w:jc w:val="left"/>
      </w:pPr>
      <w:r>
        <w:rPr>
          <w:rFonts w:ascii="Arial" w:cs="Arial" w:eastAsia="Arial" w:hAnsi="Arial"/>
          <w:b w:val="false"/>
          <w:bCs w:val="false"/>
          <w:i w:val="false"/>
          <w:iCs w:val="false"/>
          <w:color w:val="000000"/>
          <w:sz w:val="22"/>
          <w:szCs w:val="22"/>
        </w:rPr>
        <w:t xml:space="preserve">A strong case study is not just a record of what went well — it is evidence of professional maturity. The following reflections represent genuine learning from this engagement.</w:t>
      </w:r>
    </w:p>
    <w:p>
      <w:pPr>
        <w:spacing w:before="0" w:after="0"/>
      </w:pPr>
      <w:r>
        <w:t xml:space="preserve"/>
      </w:r>
    </w:p>
    <w:p>
      <w:pPr>
        <w:pStyle w:val="Heading2"/>
        <w:spacing w:before="240" w:after="120"/>
      </w:pPr>
      <w:r>
        <w:rPr>
          <w:rFonts w:ascii="Arial" w:cs="Arial" w:eastAsia="Arial" w:hAnsi="Arial"/>
          <w:b/>
          <w:bCs/>
          <w:color w:val="1a1a2e"/>
          <w:sz w:val="24"/>
          <w:szCs w:val="24"/>
        </w:rPr>
        <w:t xml:space="preserve">What Worked Well</w:t>
      </w:r>
    </w:p>
    <w:p>
      <w:pPr>
        <w:pStyle w:val="ListParagraph"/>
        <w:numPr>
          <w:ilvl w:val="0"/>
          <w:numId w:val="2"/>
        </w:numPr>
        <w:spacing w:before="40" w:after="40"/>
      </w:pPr>
      <w:r>
        <w:rPr>
          <w:rFonts w:ascii="Arial" w:cs="Arial" w:eastAsia="Arial" w:hAnsi="Arial"/>
          <w:b/>
          <w:bCs/>
          <w:sz w:val="22"/>
          <w:szCs w:val="22"/>
        </w:rPr>
        <w:t xml:space="preserve">Defining business rules before touching data — </w:t>
      </w:r>
      <w:r>
        <w:rPr>
          <w:rFonts w:ascii="Arial" w:cs="Arial" w:eastAsia="Arial" w:hAnsi="Arial"/>
          <w:sz w:val="22"/>
          <w:szCs w:val="22"/>
        </w:rPr>
        <w:t xml:space="preserve">establishing the active/inactive definition before any analysis began prevented contradictory outputs and gave all stakeholders a shared reference point throughout the engagement.</w:t>
      </w:r>
    </w:p>
    <w:p>
      <w:pPr>
        <w:pStyle w:val="ListParagraph"/>
        <w:numPr>
          <w:ilvl w:val="0"/>
          <w:numId w:val="2"/>
        </w:numPr>
        <w:spacing w:before="40" w:after="40"/>
      </w:pPr>
      <w:r>
        <w:rPr>
          <w:rFonts w:ascii="Arial" w:cs="Arial" w:eastAsia="Arial" w:hAnsi="Arial"/>
          <w:b/>
          <w:bCs/>
          <w:sz w:val="22"/>
          <w:szCs w:val="22"/>
        </w:rPr>
        <w:t xml:space="preserve">The two-tier onboarding model — </w:t>
      </w:r>
      <w:r>
        <w:rPr>
          <w:rFonts w:ascii="Arial" w:cs="Arial" w:eastAsia="Arial" w:hAnsi="Arial"/>
          <w:sz w:val="22"/>
          <w:szCs w:val="22"/>
        </w:rPr>
        <w:t xml:space="preserve">rather than imposing a rigid standard that would have been operationally disruptive, designing a pragmatic solution that preserved field agent speed while building in a compliance step was the right balance of governance and practicality.</w:t>
      </w:r>
    </w:p>
    <w:p>
      <w:pPr>
        <w:pStyle w:val="ListParagraph"/>
        <w:numPr>
          <w:ilvl w:val="0"/>
          <w:numId w:val="2"/>
        </w:numPr>
        <w:spacing w:before="40" w:after="40"/>
      </w:pPr>
      <w:r>
        <w:rPr>
          <w:rFonts w:ascii="Arial" w:cs="Arial" w:eastAsia="Arial" w:hAnsi="Arial"/>
          <w:b/>
          <w:bCs/>
          <w:sz w:val="22"/>
          <w:szCs w:val="22"/>
        </w:rPr>
        <w:t xml:space="preserve">Root cause orientation — </w:t>
      </w:r>
      <w:r>
        <w:rPr>
          <w:rFonts w:ascii="Arial" w:cs="Arial" w:eastAsia="Arial" w:hAnsi="Arial"/>
          <w:sz w:val="22"/>
          <w:szCs w:val="22"/>
        </w:rPr>
        <w:t xml:space="preserve">framing the findings around systemic causes rather than just data symptoms meant the recommendations addressed durable change rather than one-off cleansing.</w:t>
      </w:r>
    </w:p>
    <w:p>
      <w:pPr>
        <w:spacing w:before="0" w:after="0"/>
      </w:pPr>
      <w:r>
        <w:t xml:space="preserve"/>
      </w:r>
    </w:p>
    <w:p>
      <w:pPr>
        <w:pStyle w:val="Heading2"/>
        <w:spacing w:before="240" w:after="120"/>
      </w:pPr>
      <w:r>
        <w:rPr>
          <w:rFonts w:ascii="Arial" w:cs="Arial" w:eastAsia="Arial" w:hAnsi="Arial"/>
          <w:b/>
          <w:bCs/>
          <w:color w:val="1a1a2e"/>
          <w:sz w:val="24"/>
          <w:szCs w:val="24"/>
        </w:rPr>
        <w:t xml:space="preserve">What Could Be Strengthened</w:t>
      </w:r>
    </w:p>
    <w:p>
      <w:pPr>
        <w:pStyle w:val="ListParagraph"/>
        <w:numPr>
          <w:ilvl w:val="0"/>
          <w:numId w:val="2"/>
        </w:numPr>
        <w:spacing w:before="40" w:after="40"/>
      </w:pPr>
      <w:r>
        <w:rPr>
          <w:rFonts w:ascii="Arial" w:cs="Arial" w:eastAsia="Arial" w:hAnsi="Arial"/>
          <w:b/>
          <w:bCs/>
          <w:sz w:val="22"/>
          <w:szCs w:val="22"/>
        </w:rPr>
        <w:t xml:space="preserve">Deeper probabilistic matching — </w:t>
      </w:r>
      <w:r>
        <w:rPr>
          <w:rFonts w:ascii="Arial" w:cs="Arial" w:eastAsia="Arial" w:hAnsi="Arial"/>
          <w:sz w:val="22"/>
          <w:szCs w:val="22"/>
        </w:rPr>
        <w:t xml:space="preserve">the duplicate detection methodology, while effective, relied primarily on exact and basic fuzzy matching. A more sophisticated probabilistic scoring model — incorporating IMEI matching, date of birth, and email where available — would likely have surfaced additional duplicates and reduced the manual review burden.</w:t>
      </w:r>
    </w:p>
    <w:p>
      <w:pPr>
        <w:pStyle w:val="ListParagraph"/>
        <w:numPr>
          <w:ilvl w:val="0"/>
          <w:numId w:val="2"/>
        </w:numPr>
        <w:spacing w:before="40" w:after="40"/>
      </w:pPr>
      <w:r>
        <w:rPr>
          <w:rFonts w:ascii="Arial" w:cs="Arial" w:eastAsia="Arial" w:hAnsi="Arial"/>
          <w:b/>
          <w:bCs/>
          <w:sz w:val="22"/>
          <w:szCs w:val="22"/>
        </w:rPr>
        <w:t xml:space="preserve">Earlier stakeholder alignment on scope — </w:t>
      </w:r>
      <w:r>
        <w:rPr>
          <w:rFonts w:ascii="Arial" w:cs="Arial" w:eastAsia="Arial" w:hAnsi="Arial"/>
          <w:sz w:val="22"/>
          <w:szCs w:val="22"/>
        </w:rPr>
        <w:t xml:space="preserve">the breadth of the engagement meant that scope boundaries occasionally needed renegotiation mid-engagement. Tighter upfront scoping documentation would have reduced this friction.</w:t>
      </w:r>
    </w:p>
    <w:p>
      <w:pPr>
        <w:pStyle w:val="ListParagraph"/>
        <w:numPr>
          <w:ilvl w:val="0"/>
          <w:numId w:val="2"/>
        </w:numPr>
        <w:spacing w:before="40" w:after="40"/>
      </w:pPr>
      <w:r>
        <w:rPr>
          <w:rFonts w:ascii="Arial" w:cs="Arial" w:eastAsia="Arial" w:hAnsi="Arial"/>
          <w:b/>
          <w:bCs/>
          <w:sz w:val="22"/>
          <w:szCs w:val="22"/>
        </w:rPr>
        <w:t xml:space="preserve">Post-training measurement — </w:t>
      </w:r>
      <w:r>
        <w:rPr>
          <w:rFonts w:ascii="Arial" w:cs="Arial" w:eastAsia="Arial" w:hAnsi="Arial"/>
          <w:sz w:val="22"/>
          <w:szCs w:val="22"/>
        </w:rPr>
        <w:t xml:space="preserve">the training programme was well-received, but formal measurement of behavioural change (e.g. KYC completion rates at 30 and 90 days post-training) would have provided stronger evidence of impact.</w:t>
      </w:r>
    </w:p>
    <w:p>
      <w:pPr>
        <w:spacing w:before="0" w:after="0"/>
      </w:pPr>
      <w:r>
        <w:t xml:space="preserve"/>
      </w:r>
    </w:p>
    <w:p>
      <w:pPr>
        <w:pStyle w:val="Heading2"/>
        <w:spacing w:before="240" w:after="120"/>
      </w:pPr>
      <w:r>
        <w:rPr>
          <w:rFonts w:ascii="Arial" w:cs="Arial" w:eastAsia="Arial" w:hAnsi="Arial"/>
          <w:b/>
          <w:bCs/>
          <w:color w:val="1a1a2e"/>
          <w:sz w:val="24"/>
          <w:szCs w:val="24"/>
        </w:rPr>
        <w:t xml:space="preserve">The Broader Lesson</w:t>
      </w:r>
    </w:p>
    <w:tbl>
      <w:tblPr>
        <w:tblW w:type="dxa" w:w="9360"/>
        <w:tblBorders>
          <w:top w:val="none"/>
          <w:left w:val="none"/>
          <w:bottom w:val="none"/>
          <w:right w:val="none"/>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7a3f" w:val="clear"/>
            <w:tcMar>
              <w:top w:type="dxa" w:w="80"/>
              <w:left w:type="dxa" w:w="0"/>
              <w:bottom w:type="dxa" w:w="80"/>
              <w:right w:type="dxa" w:w="0"/>
            </w:tcMar>
          </w:tcPr>
          <w:p>
            <w:r>
              <w:t xml:space="preserve"/>
            </w:r>
          </w:p>
        </w:tc>
        <w:tc>
          <w:tcPr>
            <w:tcW w:type="dxa" w:w="9180"/>
            <w:tcBorders>
              <w:top w:val="none" w:color="FFFFFF" w:sz="0"/>
              <w:left w:val="none" w:color="FFFFFF" w:sz="0"/>
              <w:bottom w:val="none" w:color="FFFFFF" w:sz="0"/>
              <w:right w:val="none" w:color="FFFFFF" w:sz="0"/>
            </w:tcBorders>
            <w:shd w:fill="E8F5EC" w:val="clear"/>
            <w:tcMar>
              <w:top w:type="dxa" w:w="100"/>
              <w:left w:type="dxa" w:w="200"/>
              <w:bottom w:type="dxa" w:w="100"/>
              <w:right w:type="dxa" w:w="140"/>
            </w:tcMar>
          </w:tcPr>
          <w:p>
            <w:pPr>
              <w:spacing w:before="40" w:after="40"/>
            </w:pPr>
            <w:r>
              <w:rPr>
                <w:rFonts w:ascii="Arial" w:cs="Arial" w:eastAsia="Arial" w:hAnsi="Arial"/>
                <w:b/>
                <w:bCs/>
                <w:color w:val="1a7a3f"/>
                <w:sz w:val="20"/>
                <w:szCs w:val="20"/>
              </w:rPr>
              <w:t xml:space="preserve">Data quality is not a technical problem</w:t>
            </w:r>
          </w:p>
          <w:p>
            <w:pPr>
              <w:spacing w:before="0" w:after="40"/>
            </w:pPr>
            <w:r>
              <w:rPr>
                <w:rFonts w:ascii="Arial" w:cs="Arial" w:eastAsia="Arial" w:hAnsi="Arial"/>
                <w:i/>
                <w:iCs/>
                <w:color w:val="333333"/>
                <w:sz w:val="20"/>
                <w:szCs w:val="20"/>
              </w:rPr>
              <w:t xml:space="preserve">The root causes of every issue found in this engagement were organisational — ownership gaps, cultural priorities, process inconsistencies, and inherited decisions. The technology and analytical work was the instrument of diagnosis and remediation. But the real intervention was at the level of governance: establishing accountability, standards, and the expectation that data health is a business responsibility, not an IT afterthought.</w:t>
            </w:r>
          </w:p>
        </w:tc>
      </w:tr>
    </w:tbl>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3f" w:sz="4" w:space="4"/>
      </w:pBdr>
      <w:spacing w:before="120" w:after="0"/>
      <w:jc w:val="right"/>
    </w:pPr>
    <w:r>
      <w:rPr>
        <w:rFonts w:ascii="Arial" w:cs="Arial" w:eastAsia="Arial" w:hAnsi="Arial"/>
        <w:color w:val="888888"/>
        <w:sz w:val="18"/>
        <w:szCs w:val="18"/>
      </w:rPr>
      <w:t xml:space="preserve">Confidential — Portfolio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3f" w:sz="4" w:space="4"/>
      </w:pBdr>
      <w:spacing w:before="0" w:after="120"/>
    </w:pPr>
    <w:r>
      <w:rPr>
        <w:rFonts w:ascii="Arial" w:cs="Arial" w:eastAsia="Arial" w:hAnsi="Arial"/>
        <w:color w:val="888888"/>
        <w:sz w:val="18"/>
        <w:szCs w:val="18"/>
      </w:rPr>
      <w:t xml:space="preserve">PORTFOLIO CASE STUDY  |  Subscriber Data Integrity in an M&amp;A Context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7a3f"/>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2026-03-09T15:40:21.778Z</dcterms:created>
  <dcterms:modified xsi:type="dcterms:W3CDTF">2026-03-09T15:40:21.779Z</dcterms:modified>
</cp:coreProperties>
</file>

<file path=docProps/custom.xml><?xml version="1.0" encoding="utf-8"?>
<Properties xmlns="http://schemas.openxmlformats.org/officeDocument/2006/custom-properties" xmlns:vt="http://schemas.openxmlformats.org/officeDocument/2006/docPropsVTypes"/>
</file>