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aps/>
          <w:color w:val="2E75B6"/>
          <w:sz w:val="20"/>
          <w:szCs w:val="20"/>
        </w:rPr>
        <w:t xml:space="preserve">PORTFOLIO CASE STUDY</w:t>
      </w:r>
    </w:p>
    <w:p>
      <w:pPr>
        <w:spacing w:before="0" w:after="200"/>
        <w:jc w:val="center"/>
      </w:pPr>
      <w:r>
        <w:rPr>
          <w:rFonts w:ascii="Arial" w:cs="Arial" w:eastAsia="Arial" w:hAnsi="Arial"/>
          <w:b/>
          <w:bCs/>
          <w:color w:val="1B4F8A"/>
          <w:sz w:val="40"/>
          <w:szCs w:val="40"/>
        </w:rPr>
        <w:t xml:space="preserve">Embedded Data Stewardship at a Tier-One Nigerian Bank</w:t>
      </w:r>
    </w:p>
    <w:p>
      <w:pPr>
        <w:spacing w:before="0" w:after="400"/>
        <w:jc w:val="center"/>
      </w:pPr>
      <w:r>
        <w:rPr>
          <w:rFonts w:ascii="Arial" w:cs="Arial" w:eastAsia="Arial" w:hAnsi="Arial"/>
          <w:i/>
          <w:iCs/>
          <w:color w:val="555555"/>
          <w:sz w:val="24"/>
          <w:szCs w:val="24"/>
        </w:rPr>
        <w:t xml:space="preserve">Customer Data Integrity, Core Banking Migration, and Regulatory Compliance at GTCO Plc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Institution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Guaranty Trust Bank Plc (GTCO Plc)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Engagement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Full-Time Employment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Role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Steward II, Commercial Banking Group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Duration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November 2022 — January 2025 (26 months)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Scope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 Branches · 3.9 Million Regional Customers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Core Programme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Basis to Infosys Finacle Core Banking Migration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Tools Used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 Power BI · Business Objects (BO) · Finacle · Internal DQ Systems · Excel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4F8A"/>
                <w:sz w:val="20"/>
                <w:szCs w:val="20"/>
              </w:rPr>
              <w:t xml:space="preserve">Regulatory Frameworks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CBN · NDPC / NDPA 2023 · AML Guidelines · NIN/BVN Identity Standards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4F8A" w:val="clear"/>
            <w:tcMar>
              <w:top w:type="dxa" w:w="160"/>
              <w:left w:type="dxa" w:w="100"/>
              <w:bottom w:type="dxa" w:w="160"/>
              <w:right w:type="dxa" w:w="100"/>
            </w:tcMar>
            <w:vAlign w:val="center"/>
          </w:tcPr>
          <w:p>
            <w:pPr>
              <w:jc w:val="center"/>
            </w:pPr>
            <w:r>
              <w:rPr>
                <w:rFonts w:ascii="Arial" w:cs="Arial" w:eastAsia="Arial" w:hAnsi="Arial"/>
                <w:b/>
                <w:bCs/>
                <w:color w:val="FFFFFF"/>
                <w:sz w:val="32"/>
                <w:szCs w:val="32"/>
              </w:rPr>
              <w:t xml:space="preserve">3.9M</w:t>
            </w:r>
          </w:p>
          <w:p>
            <w:pPr>
              <w:jc w:val="center"/>
            </w:pPr>
            <w:r>
              <w:rPr>
                <w:rFonts w:ascii="Arial" w:cs="Arial" w:eastAsia="Arial" w:hAnsi="Arial"/>
                <w:color w:val="B8D4F0"/>
                <w:sz w:val="16"/>
                <w:szCs w:val="16"/>
              </w:rPr>
              <w:t xml:space="preserve">Regional customers</w:t>
            </w:r>
          </w:p>
        </w:tc>
        <w:tc>
          <w:tcPr>
            <w:tcW w:type="dxa" w:w="2340"/>
            <w:tcBorders>
              <w:top w:val="none" w:color="FFFFFF" w:sz="0"/>
              <w:left w:val="none" w:color="FFFFFF" w:sz="0"/>
              <w:bottom w:val="none" w:color="FFFFFF" w:sz="0"/>
              <w:right w:val="none" w:color="FFFFFF" w:sz="0"/>
            </w:tcBorders>
            <w:shd w:fill="1B4F8A" w:val="clear"/>
            <w:tcMar>
              <w:top w:type="dxa" w:w="160"/>
              <w:left w:type="dxa" w:w="100"/>
              <w:bottom w:type="dxa" w:w="160"/>
              <w:right w:type="dxa" w:w="100"/>
            </w:tcMar>
            <w:vAlign w:val="center"/>
          </w:tcPr>
          <w:p>
            <w:pPr>
              <w:jc w:val="center"/>
            </w:pPr>
            <w:r>
              <w:rPr>
                <w:rFonts w:ascii="Arial" w:cs="Arial" w:eastAsia="Arial" w:hAnsi="Arial"/>
                <w:b/>
                <w:bCs/>
                <w:color w:val="FFFFFF"/>
                <w:sz w:val="32"/>
                <w:szCs w:val="32"/>
              </w:rPr>
              <w:t xml:space="preserve">7,000</w:t>
            </w:r>
          </w:p>
          <w:p>
            <w:pPr>
              <w:jc w:val="center"/>
            </w:pPr>
            <w:r>
              <w:rPr>
                <w:rFonts w:ascii="Arial" w:cs="Arial" w:eastAsia="Arial" w:hAnsi="Arial"/>
                <w:color w:val="B8D4F0"/>
                <w:sz w:val="16"/>
                <w:szCs w:val="16"/>
              </w:rPr>
              <w:t xml:space="preserve">Accounts assessed</w:t>
            </w:r>
          </w:p>
        </w:tc>
        <w:tc>
          <w:tcPr>
            <w:tcW w:type="dxa" w:w="2340"/>
            <w:tcBorders>
              <w:top w:val="none" w:color="FFFFFF" w:sz="0"/>
              <w:left w:val="none" w:color="FFFFFF" w:sz="0"/>
              <w:bottom w:val="none" w:color="FFFFFF" w:sz="0"/>
              <w:right w:val="none" w:color="FFFFFF" w:sz="0"/>
            </w:tcBorders>
            <w:shd w:fill="1B4F8A" w:val="clear"/>
            <w:tcMar>
              <w:top w:type="dxa" w:w="160"/>
              <w:left w:type="dxa" w:w="100"/>
              <w:bottom w:type="dxa" w:w="160"/>
              <w:right w:type="dxa" w:w="100"/>
            </w:tcMar>
            <w:vAlign w:val="center"/>
          </w:tcPr>
          <w:p>
            <w:pPr>
              <w:jc w:val="center"/>
            </w:pPr>
            <w:r>
              <w:rPr>
                <w:rFonts w:ascii="Arial" w:cs="Arial" w:eastAsia="Arial" w:hAnsi="Arial"/>
                <w:b/>
                <w:bCs/>
                <w:color w:val="FFFFFF"/>
                <w:sz w:val="32"/>
                <w:szCs w:val="32"/>
              </w:rPr>
              <w:t xml:space="preserve">₦3.8B</w:t>
            </w:r>
          </w:p>
          <w:p>
            <w:pPr>
              <w:jc w:val="center"/>
            </w:pPr>
            <w:r>
              <w:rPr>
                <w:rFonts w:ascii="Arial" w:cs="Arial" w:eastAsia="Arial" w:hAnsi="Arial"/>
                <w:color w:val="B8D4F0"/>
                <w:sz w:val="16"/>
                <w:szCs w:val="16"/>
              </w:rPr>
              <w:t xml:space="preserve">NPL write-offs</w:t>
            </w:r>
          </w:p>
        </w:tc>
        <w:tc>
          <w:tcPr>
            <w:tcW w:type="dxa" w:w="2340"/>
            <w:tcBorders>
              <w:top w:val="none" w:color="FFFFFF" w:sz="0"/>
              <w:left w:val="none" w:color="FFFFFF" w:sz="0"/>
              <w:bottom w:val="none" w:color="FFFFFF" w:sz="0"/>
              <w:right w:val="none" w:color="FFFFFF" w:sz="0"/>
            </w:tcBorders>
            <w:shd w:fill="1B4F8A" w:val="clear"/>
            <w:tcMar>
              <w:top w:type="dxa" w:w="160"/>
              <w:left w:type="dxa" w:w="100"/>
              <w:bottom w:type="dxa" w:w="160"/>
              <w:right w:type="dxa" w:w="100"/>
            </w:tcMar>
            <w:vAlign w:val="center"/>
          </w:tcPr>
          <w:p>
            <w:pPr>
              <w:jc w:val="center"/>
            </w:pPr>
            <w:r>
              <w:rPr>
                <w:rFonts w:ascii="Arial" w:cs="Arial" w:eastAsia="Arial" w:hAnsi="Arial"/>
                <w:b/>
                <w:bCs/>
                <w:color w:val="FFFFFF"/>
                <w:sz w:val="32"/>
                <w:szCs w:val="32"/>
              </w:rPr>
              <w:t xml:space="preserve">33%</w:t>
            </w:r>
          </w:p>
          <w:p>
            <w:pPr>
              <w:jc w:val="center"/>
            </w:pPr>
            <w:r>
              <w:rPr>
                <w:rFonts w:ascii="Arial" w:cs="Arial" w:eastAsia="Arial" w:hAnsi="Arial"/>
                <w:color w:val="B8D4F0"/>
                <w:sz w:val="16"/>
                <w:szCs w:val="16"/>
              </w:rPr>
              <w:t xml:space="preserve">NIN/BVN linkage in 60 days</w:t>
            </w:r>
          </w:p>
        </w:tc>
      </w:tr>
    </w:tbl>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1. Executive Summary</w:t>
      </w:r>
    </w:p>
    <w:p>
      <w:pPr>
        <w:pBdr>
          <w:bottom w:val="single" w:color="2E75B6" w:sz="4" w:space="1"/>
        </w:pBdr>
        <w:spacing w:before="160" w:after="160"/>
      </w:pPr>
      <w:r>
        <w:t xml:space="preserve"/>
      </w:r>
    </w:p>
    <w:p>
      <w:pPr>
        <w:spacing w:before="80" w:after="120" w:line="280"/>
      </w:pPr>
      <w:r>
        <w:rPr>
          <w:rFonts w:ascii="Arial" w:cs="Arial" w:eastAsia="Arial" w:hAnsi="Arial"/>
          <w:color w:val="2C2C2A"/>
          <w:sz w:val="22"/>
          <w:szCs w:val="22"/>
        </w:rPr>
        <w:t xml:space="preserve">This case study documents 26 months of embedded data stewardship at Guaranty Trust Bank Plc (GTCO Plc), one of Nigeria's foremost tier-one commercial banks, listed on both the Nigerian Exchange Group and the London Stock Exchange. As Data Steward II within the Commercial Banking Group, I was responsible for the data quality, integrity, governance, and regulatory compliance of customer data across a regional portfolio spanning 52 branches and approximately 3.9 million customers.</w:t>
      </w:r>
    </w:p>
    <w:p>
      <w:pPr>
        <w:spacing w:before="80" w:after="80"/>
      </w:pPr>
      <w:r>
        <w:t xml:space="preserve"/>
      </w:r>
    </w:p>
    <w:p>
      <w:pPr>
        <w:spacing w:before="80" w:after="120" w:line="280"/>
      </w:pPr>
      <w:r>
        <w:rPr>
          <w:rFonts w:ascii="Arial" w:cs="Arial" w:eastAsia="Arial" w:hAnsi="Arial"/>
          <w:color w:val="2C2C2A"/>
          <w:sz w:val="22"/>
          <w:szCs w:val="22"/>
        </w:rPr>
        <w:t xml:space="preserve">The role covered two distinct but interconnected workstreams. The first was ongoing stewardship: maintaining a single source of truth across marketing and commercial data domains, enforcing data quality standards through the Business Objects reporting platform, managing PII access governance, and ensuring regulatory compliance with CBN, NDPC, and AML requirements on a daily basis. The second was a major programme contribution: the bank's migration from its legacy core banking system, Basis, to the Infosys Finacle platform — a 90-day, three-batch cutover that required every customer record to be assessed, classified, cleansed, and validated before it could move.</w:t>
      </w:r>
    </w:p>
    <w:p>
      <w:pPr>
        <w:spacing w:before="80" w:after="80"/>
      </w:pPr>
      <w:r>
        <w:t xml:space="preserve"/>
      </w:r>
    </w:p>
    <w:p>
      <w:pPr>
        <w:spacing w:before="80" w:after="120" w:line="280"/>
      </w:pPr>
      <w:r>
        <w:rPr>
          <w:rFonts w:ascii="Arial" w:cs="Arial" w:eastAsia="Arial" w:hAnsi="Arial"/>
          <w:color w:val="2C2C2A"/>
          <w:sz w:val="22"/>
          <w:szCs w:val="22"/>
        </w:rPr>
        <w:t xml:space="preserve">Across the migration workstream, I assessed 7,000 customer accounts for CIF consolidation, of which 2,000+ required full re-profiling due to data quality issues identified during assessment. These accounts contributed to the consolidation of over 100,000 duplicate accounts into single Customer Information Files across the regional portfolio. A critical gap was identified in the corporate customer dataset: 63% of corporate accounts in scope had been captured under the legacy system by CAC registration number alone, without the associated identity validation data required by Finacle. This gap was identified, documented, and remediated before go-live.</w:t>
      </w:r>
    </w:p>
    <w:p>
      <w:pPr>
        <w:spacing w:before="80" w:after="80"/>
      </w:pPr>
      <w:r>
        <w:t xml:space="preserve"/>
      </w:r>
    </w:p>
    <w:p>
      <w:pPr>
        <w:spacing w:before="80" w:after="120" w:line="280"/>
      </w:pPr>
      <w:r>
        <w:rPr>
          <w:rFonts w:ascii="Arial" w:cs="Arial" w:eastAsia="Arial" w:hAnsi="Arial"/>
          <w:color w:val="2C2C2A"/>
          <w:sz w:val="22"/>
          <w:szCs w:val="22"/>
        </w:rPr>
        <w:t xml:space="preserve">One of the most significant quantified outcomes of the engagement was the NIN and BVN linkage programme. At the start of the engagement, only 9% of accounts had been linked over the preceding 12 months. Within 60 days, linkage coverage reached 33% — a step-change improvement achieved through a structured, systematic approach to identifying and resolving gaps across the regional portfolio.</w:t>
      </w:r>
    </w:p>
    <w:p>
      <w:pPr>
        <w:spacing w:before="80" w:after="80"/>
      </w:pPr>
      <w:r>
        <w:t xml:space="preserve"/>
      </w:r>
    </w:p>
    <w:p>
      <w:pPr>
        <w:spacing w:before="80" w:after="120" w:line="280"/>
      </w:pPr>
      <w:r>
        <w:rPr>
          <w:rFonts w:ascii="Arial" w:cs="Arial" w:eastAsia="Arial" w:hAnsi="Arial"/>
          <w:color w:val="2C2C2A"/>
          <w:sz w:val="22"/>
          <w:szCs w:val="22"/>
        </w:rPr>
        <w:t xml:space="preserve">A marketing consent programme was coordinated across all 52 branches in compliance with NDPA 2023 requirements. Account officers were responsible for direct customer contact, with the stewardship function providing oversight, tracking opt-in rates at branch level, and ensuring the data infrastructure supported the programme. The programme achieved over 90% compliance, with a defined privacy-preserving default applied to non-respondents.</w:t>
      </w:r>
    </w:p>
    <w:p>
      <w:pPr>
        <w:spacing w:before="80" w:after="80"/>
      </w:pPr>
      <w:r>
        <w:t xml:space="preserve"/>
      </w:r>
    </w:p>
    <w:p>
      <w:pPr>
        <w:spacing w:before="80" w:after="120" w:line="280"/>
      </w:pPr>
      <w:r>
        <w:rPr>
          <w:rFonts w:ascii="Arial" w:cs="Arial" w:eastAsia="Arial" w:hAnsi="Arial"/>
          <w:color w:val="2C2C2A"/>
          <w:sz w:val="22"/>
          <w:szCs w:val="22"/>
        </w:rPr>
        <w:t xml:space="preserve">Separately, during the migration classification work, a portfolio of non-performing loan balances stale for over ten years was identified with a combined book value of approximately ₦4.2 billion naira. The executive team proceeded with write-offs of ₦3.8 billion, directly supported by the data classification and documentation work carried out by the stewardship function. This decision coincided with the CBN's active recapitalisation directive, making the timing commercially and regulatorily significant.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r>
              <w:rPr>
                <w:sz w:val="22"/>
                <w:szCs w:val="22"/>
              </w:rPr>
              <w:t xml:space="preserve"/>
            </w:r>
          </w:p>
        </w:tc>
        <w:tc>
          <w:tcPr>
            <w:tcW w:type="dxa" w:w="912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r>
              <w:rPr>
                <w:rFonts w:ascii="Arial" w:cs="Arial" w:eastAsia="Arial" w:hAnsi="Arial"/>
                <w:i/>
                <w:iCs/>
                <w:color w:val="1B3A5C"/>
                <w:sz w:val="21"/>
                <w:szCs w:val="21"/>
              </w:rPr>
              <w:t xml:space="preserve">This engagement demonstrates what embedded data stewardship looks like in practice inside a regulated financial institution — not as a one-off intervention, but as a sustained discipline that makes high-stakes programmes like core banking migrations possible.</w:t>
            </w:r>
          </w:p>
        </w:tc>
      </w:tr>
    </w:tbl>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2. About the Institution and Market Context</w:t>
      </w:r>
    </w:p>
    <w:p>
      <w:pPr>
        <w:pBdr>
          <w:bottom w:val="single" w:color="2E75B6" w:sz="4" w:space="1"/>
        </w:pBdr>
        <w:spacing w:before="160" w:after="160"/>
      </w:pPr>
      <w:r>
        <w:t xml:space="preserve"/>
      </w:r>
    </w:p>
    <w:p>
      <w:pPr>
        <w:spacing w:before="80" w:after="120" w:line="280"/>
      </w:pPr>
      <w:r>
        <w:rPr>
          <w:rFonts w:ascii="Arial" w:cs="Arial" w:eastAsia="Arial" w:hAnsi="Arial"/>
          <w:color w:val="2C2C2A"/>
          <w:sz w:val="22"/>
          <w:szCs w:val="22"/>
        </w:rPr>
        <w:t xml:space="preserve">Guaranty Trust Bank Plc, operating under the holding company GTCO Plc, is one of Nigeria's most recognised tier-one commercial banks. Founded in 1990 and headquartered in Lagos, the bank holds a significant position in the Nigerian financial services landscape and has expanded across sub-Saharan Africa and into the United Kingdom. GTCO Plc is listed on both the Nigerian Exchange Group (NGX) and the London Stock Exchange (LSE), making it one of a small number of African financial institutions with a dual listing and direct exposure to UK regulatory expectations.</w:t>
      </w:r>
    </w:p>
    <w:p>
      <w:pPr>
        <w:spacing w:before="80" w:after="80"/>
      </w:pPr>
      <w:r>
        <w:t xml:space="preserve"/>
      </w:r>
    </w:p>
    <w:p>
      <w:pPr>
        <w:spacing w:before="80" w:after="120" w:line="280"/>
      </w:pPr>
      <w:r>
        <w:rPr>
          <w:rFonts w:ascii="Arial" w:cs="Arial" w:eastAsia="Arial" w:hAnsi="Arial"/>
          <w:color w:val="2C2C2A"/>
          <w:sz w:val="22"/>
          <w:szCs w:val="22"/>
        </w:rPr>
        <w:t xml:space="preserve">At the time of this engagement, the bank operated an extensive branch network across Nigeria, serving millions of retail and corporate customers. The regional desk to which I was assigned covered 52 branches, with a total customer base of approximately 3.9 million across retail and commercial segments. Within that region, my stewardship remit covered the marketing and commercial banking data domains, encompassing customer onboarding records, KYC data, product holdings, consent flags, and loan and overdraft account data.</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The Nigerian Banking Regulatory Environment</w:t>
      </w:r>
    </w:p>
    <w:p>
      <w:pPr>
        <w:spacing w:before="80" w:after="120" w:line="280"/>
      </w:pPr>
      <w:r>
        <w:rPr>
          <w:rFonts w:ascii="Arial" w:cs="Arial" w:eastAsia="Arial" w:hAnsi="Arial"/>
          <w:color w:val="2C2C2A"/>
          <w:sz w:val="22"/>
          <w:szCs w:val="22"/>
        </w:rPr>
        <w:t xml:space="preserve">Nigerian commercial banks operate under one of Africa's most active regulatory regimes. The Central Bank of Nigeria (CBN) governs all licensed deposit-taking institutions and sets the standards for capital adequacy, customer identification, AML compliance, and data reporting. During the period of this engagement, two regulatory developments shaped the data environment significantly.</w:t>
      </w:r>
    </w:p>
    <w:p>
      <w:pPr>
        <w:spacing w:before="80" w:after="80"/>
      </w:pPr>
      <w:r>
        <w:t xml:space="preserve"/>
      </w:r>
    </w:p>
    <w:p>
      <w:pPr>
        <w:spacing w:before="80" w:after="120" w:line="280"/>
      </w:pPr>
      <w:r>
        <w:rPr>
          <w:rFonts w:ascii="Arial" w:cs="Arial" w:eastAsia="Arial" w:hAnsi="Arial"/>
          <w:color w:val="2C2C2A"/>
          <w:sz w:val="22"/>
          <w:szCs w:val="22"/>
        </w:rPr>
        <w:t xml:space="preserve">The first was the ongoing enforcement of the NIN-BVN linkage requirement, which mandated that all customer accounts be linked to a verified National Identity Number and Bank Verification Number. This created a direct data quality obligation: accounts without valid NIN or BVN linkage were non-compliant, and the stewardship function was responsible for identifying and resolving those gaps.</w:t>
      </w:r>
    </w:p>
    <w:p>
      <w:pPr>
        <w:spacing w:before="80" w:after="80"/>
      </w:pPr>
      <w:r>
        <w:t xml:space="preserve"/>
      </w:r>
    </w:p>
    <w:p>
      <w:pPr>
        <w:spacing w:before="80" w:after="120" w:line="280"/>
      </w:pPr>
      <w:r>
        <w:rPr>
          <w:rFonts w:ascii="Arial" w:cs="Arial" w:eastAsia="Arial" w:hAnsi="Arial"/>
          <w:color w:val="2C2C2A"/>
          <w:sz w:val="22"/>
          <w:szCs w:val="22"/>
        </w:rPr>
        <w:t xml:space="preserve">The second was the CBN's recapitalisation directive, which required Nigerian banks to meet revised minimum capital thresholds. This directive had a direct bearing on balance sheet management and created a specific commercial context in which the identification and write-off of long-stale non-performing loan balances became not only a data quality matter but a strategic financial one.</w:t>
      </w:r>
    </w:p>
    <w:p>
      <w:pPr>
        <w:spacing w:before="80" w:after="80"/>
      </w:pPr>
      <w:r>
        <w:t xml:space="preserve"/>
      </w:r>
    </w:p>
    <w:p>
      <w:pPr>
        <w:spacing w:before="80" w:after="120" w:line="280"/>
      </w:pPr>
      <w:r>
        <w:rPr>
          <w:rFonts w:ascii="Arial" w:cs="Arial" w:eastAsia="Arial" w:hAnsi="Arial"/>
          <w:color w:val="2C2C2A"/>
          <w:sz w:val="22"/>
          <w:szCs w:val="22"/>
        </w:rPr>
        <w:t xml:space="preserve">In parallel, the Nigeria Data Protection Commission (NDPC) and the Nigeria Data Protection Act 2023 (NDPA) established a formal data privacy framework that governed how customer data could be collected, stored, used, and shared. For the marketing function specifically, this introduced binding requirements around customer consent for communications, directly shaping the consent management programme described later in this case study.</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UK Relevance and Regulatory Equivalence</w:t>
      </w:r>
    </w:p>
    <w:p>
      <w:pPr>
        <w:spacing w:before="80" w:after="120" w:line="280"/>
      </w:pPr>
      <w:r>
        <w:rPr>
          <w:rFonts w:ascii="Arial" w:cs="Arial" w:eastAsia="Arial" w:hAnsi="Arial"/>
          <w:color w:val="2C2C2A"/>
          <w:sz w:val="22"/>
          <w:szCs w:val="22"/>
        </w:rPr>
        <w:t xml:space="preserve">For UK-based recruiters and hiring managers, the regulatory environment described above maps closely to the framework governing UK financial institutions.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4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Nigerian Framework</w:t>
            </w:r>
          </w:p>
        </w:tc>
        <w:tc>
          <w:tcPr>
            <w:tcW w:type="dxa" w:w="34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UK Equivalent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Banking Regulation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FCA / PRA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Protection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NDPA 2023 / NDPC</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UK GDPR / ICO / DPA 2018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AML Compliance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CBN AML Guidelines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FCA AML / MLR 2017</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Identity Verification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NIN / BVN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National Insurance / Passport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Registry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Companies House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Deposit Protection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NDIC</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FSCS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 Consent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NDPC / NDPA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PECR</w:t>
            </w:r>
          </w:p>
        </w:tc>
      </w:tr>
    </w:tbl>
    <w:p>
      <w:pPr>
        <w:spacing w:before="80" w:after="80"/>
      </w:pPr>
      <w:r>
        <w:t xml:space="preserve"/>
      </w:r>
    </w:p>
    <w:p>
      <w:pPr>
        <w:spacing w:before="80" w:after="120" w:line="280"/>
      </w:pPr>
      <w:r>
        <w:rPr>
          <w:rFonts w:ascii="Arial" w:cs="Arial" w:eastAsia="Arial" w:hAnsi="Arial"/>
          <w:color w:val="2C2C2A"/>
          <w:sz w:val="22"/>
          <w:szCs w:val="22"/>
        </w:rPr>
        <w:t xml:space="preserve">The practical demands of working within this environment — managing consent obligations, supporting AML escalations, maintaining data quality under regulatory scrutiny, and contributing to a major system migration — are directly transferable to a UK regulated banking context.</w:t>
      </w:r>
    </w:p>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3. Background and Role Context</w:t>
      </w:r>
    </w:p>
    <w:p>
      <w:pPr>
        <w:pBdr>
          <w:bottom w:val="single" w:color="2E75B6" w:sz="4" w:space="1"/>
        </w:pBdr>
        <w:spacing w:before="160" w:after="160"/>
      </w:pPr>
      <w:r>
        <w:t xml:space="preserve"/>
      </w:r>
    </w:p>
    <w:p>
      <w:pPr>
        <w:pStyle w:val="Heading2"/>
        <w:spacing w:before="280" w:after="100"/>
      </w:pPr>
      <w:r>
        <w:rPr>
          <w:rFonts w:ascii="Arial" w:cs="Arial" w:eastAsia="Arial" w:hAnsi="Arial"/>
          <w:b/>
          <w:bCs/>
          <w:color w:val="1B4F8A"/>
          <w:sz w:val="26"/>
          <w:szCs w:val="26"/>
        </w:rPr>
        <w:t xml:space="preserve">Professional Background Before the Role</w:t>
      </w:r>
    </w:p>
    <w:p>
      <w:pPr>
        <w:spacing w:before="80" w:after="120" w:line="280"/>
      </w:pPr>
      <w:r>
        <w:rPr>
          <w:rFonts w:ascii="Arial" w:cs="Arial" w:eastAsia="Arial" w:hAnsi="Arial"/>
          <w:color w:val="2C2C2A"/>
          <w:sz w:val="22"/>
          <w:szCs w:val="22"/>
        </w:rPr>
        <w:t xml:space="preserve">Prior to joining Guaranty Trust Bank, I worked as a Data Analyst, building the technical foundation that would later underpin my governance work. This included proficiency in SQL, data profiling, reporting, and working with structured datasets across business contexts. That analytical grounding meant that when I moved into banking, I arrived with both the tools and the habit of interrogating data critically rather than accepting it at face value.</w:t>
      </w:r>
    </w:p>
    <w:p>
      <w:pPr>
        <w:spacing w:before="80" w:after="80"/>
      </w:pPr>
      <w:r>
        <w:t xml:space="preserve"/>
      </w:r>
    </w:p>
    <w:p>
      <w:pPr>
        <w:spacing w:before="80" w:after="120" w:line="280"/>
      </w:pPr>
      <w:r>
        <w:rPr>
          <w:rFonts w:ascii="Arial" w:cs="Arial" w:eastAsia="Arial" w:hAnsi="Arial"/>
          <w:color w:val="2C2C2A"/>
          <w:sz w:val="22"/>
          <w:szCs w:val="22"/>
        </w:rPr>
        <w:t xml:space="preserve">My entry into GTCO Plc was not directly into a data function. I joined as a Commercial Banking Officer — a client-facing role in which I worked directly with corporate and commercial customers, supported relationship managers, and developed a working understanding of banking products, credit facilities, overdraft structures, and the commercial customer lifecycle. This year in commercial banking was not incidental to my later data work. It was the foundation of it.</w:t>
      </w:r>
    </w:p>
    <w:p>
      <w:pPr>
        <w:spacing w:before="80" w:after="80"/>
      </w:pPr>
      <w:r>
        <w:t xml:space="preserve"/>
      </w:r>
    </w:p>
    <w:p>
      <w:pPr>
        <w:spacing w:before="80" w:after="120" w:line="280"/>
      </w:pPr>
      <w:r>
        <w:rPr>
          <w:rFonts w:ascii="Arial" w:cs="Arial" w:eastAsia="Arial" w:hAnsi="Arial"/>
          <w:color w:val="2C2C2A"/>
          <w:sz w:val="22"/>
          <w:szCs w:val="22"/>
        </w:rPr>
        <w:t xml:space="preserve">Understanding what a performing loan looks like, how an OD facility is structured, what a corporate customer relationship actually involves, and how account managers think about their portfolios gave me a level of business context that most data professionals in governance roles do not have. When I later had to classify loan portfolios, assess corporate account completeness, or escalate ambiguous CIF consolidations to account managers, I was not operating as an outsider interpreting business data. I was a practitioner who understood what that data represented in commercial reality.</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The Move Into Data Stewardship</w:t>
      </w:r>
    </w:p>
    <w:p>
      <w:pPr>
        <w:spacing w:before="80" w:after="120" w:line="280"/>
      </w:pPr>
      <w:r>
        <w:rPr>
          <w:rFonts w:ascii="Arial" w:cs="Arial" w:eastAsia="Arial" w:hAnsi="Arial"/>
          <w:color w:val="2C2C2A"/>
          <w:sz w:val="22"/>
          <w:szCs w:val="22"/>
        </w:rPr>
        <w:t xml:space="preserve">After a year in commercial banking, I moved into the role of Data Steward II within the Commercial Banking Group through an internal process. The transition was a natural one: I had already demonstrated the business context and analytical background the role required, and I had actively sought the opportunity when it became available. Moving from the commercial side into the governance function was not a departure from the business — it was a deliberate step toward solving the data problems I had observed from the inside.</w:t>
      </w:r>
    </w:p>
    <w:p>
      <w:pPr>
        <w:spacing w:before="80" w:after="80"/>
      </w:pPr>
      <w:r>
        <w:t xml:space="preserve"/>
      </w:r>
    </w:p>
    <w:p>
      <w:pPr>
        <w:spacing w:before="80" w:after="120" w:line="280"/>
      </w:pPr>
      <w:r>
        <w:rPr>
          <w:rFonts w:ascii="Arial" w:cs="Arial" w:eastAsia="Arial" w:hAnsi="Arial"/>
          <w:color w:val="2C2C2A"/>
          <w:sz w:val="22"/>
          <w:szCs w:val="22"/>
        </w:rPr>
        <w:t xml:space="preserve">The role sat within a governance structure reporting to a Senior Enterprise Data Architect and Compliance supervisors — held to architectural standards on one side and regulatory standards on the other, with the data steward functioning as the operational layer between both.</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Scope and Responsibilities</w:t>
      </w:r>
    </w:p>
    <w:p>
      <w:pPr>
        <w:spacing w:before="80" w:after="120" w:line="280"/>
      </w:pPr>
      <w:r>
        <w:rPr>
          <w:rFonts w:ascii="Arial" w:cs="Arial" w:eastAsia="Arial" w:hAnsi="Arial"/>
          <w:color w:val="2C2C2A"/>
          <w:sz w:val="22"/>
          <w:szCs w:val="22"/>
        </w:rPr>
        <w:t xml:space="preserve">The regional desk covered 52 branches across the assigned region, with a total customer base of approximately 3.9 million. My stewardship domain covered the data assets of the marketing and commercial banking functions, encompassing customer onboarding and KYC records, product and account holdings, consent and communication preferences, loan and overdraft portfolios, and corporate identity documentation.</w:t>
      </w:r>
    </w:p>
    <w:p>
      <w:pPr>
        <w:spacing w:before="80" w:after="80"/>
      </w:pPr>
      <w:r>
        <w:t xml:space="preserve"/>
      </w:r>
    </w:p>
    <w:p>
      <w:pPr>
        <w:spacing w:before="80" w:after="120" w:line="280"/>
      </w:pPr>
      <w:r>
        <w:rPr>
          <w:rFonts w:ascii="Arial" w:cs="Arial" w:eastAsia="Arial" w:hAnsi="Arial"/>
          <w:color w:val="2C2C2A"/>
          <w:sz w:val="22"/>
          <w:szCs w:val="22"/>
        </w:rPr>
        <w:t xml:space="preserve">The role had two operating modes that ran in parallel throughout the 26-month tenure. The first was ongoing stewardship: the daily and weekly discipline of monitoring, maintaining, governing, and documenting the data assets within my domain. The second was programme contribution: being embedded in the bank's major data-intensive initiatives, most significantly the migration from the legacy Basis core banking system to the Infosys Finacle platform.</w:t>
      </w:r>
    </w:p>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4. The Day-to-Day Stewardship Role</w:t>
      </w:r>
    </w:p>
    <w:p>
      <w:pPr>
        <w:pBdr>
          <w:bottom w:val="single" w:color="2E75B6" w:sz="4" w:space="1"/>
        </w:pBdr>
        <w:spacing w:before="160" w:after="160"/>
      </w:pPr>
      <w:r>
        <w:t xml:space="preserve"/>
      </w:r>
    </w:p>
    <w:p>
      <w:pPr>
        <w:pStyle w:val="Heading2"/>
        <w:spacing w:before="280" w:after="100"/>
      </w:pPr>
      <w:r>
        <w:rPr>
          <w:rFonts w:ascii="Arial" w:cs="Arial" w:eastAsia="Arial" w:hAnsi="Arial"/>
          <w:b/>
          <w:bCs/>
          <w:color w:val="1B4F8A"/>
          <w:sz w:val="26"/>
          <w:szCs w:val="26"/>
        </w:rPr>
        <w:t xml:space="preserve">The Rhythm of Embedded Stewardship</w:t>
      </w:r>
    </w:p>
    <w:p>
      <w:pPr>
        <w:spacing w:before="80" w:after="120" w:line="280"/>
      </w:pPr>
      <w:r>
        <w:rPr>
          <w:rFonts w:ascii="Arial" w:cs="Arial" w:eastAsia="Arial" w:hAnsi="Arial"/>
          <w:color w:val="2C2C2A"/>
          <w:sz w:val="22"/>
          <w:szCs w:val="22"/>
        </w:rPr>
        <w:t xml:space="preserve">One of the distinctions between project-based data quality work and embedded stewardship is that the latter has no finish line. The work does not end when a report is delivered or a framework is signed off. It is continuous, and its value accumulates over time through consistency rather than through a single dramatic intervention. The daily and weekly routines described in this section reflect the steady-state operating model that ran before, alongside, and after the migration programme. During the 90-day migration period itself, the shape of the daily work shifted significantly — profiling, classification, and validation activities took priority — but the governance baseline described here remained the foundation throughout.</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Morning Data Quality Reviews</w:t>
      </w:r>
    </w:p>
    <w:p>
      <w:pPr>
        <w:spacing w:before="80" w:after="120" w:line="280"/>
      </w:pPr>
      <w:r>
        <w:rPr>
          <w:rFonts w:ascii="Arial" w:cs="Arial" w:eastAsia="Arial" w:hAnsi="Arial"/>
          <w:color w:val="2C2C2A"/>
          <w:sz w:val="22"/>
          <w:szCs w:val="22"/>
        </w:rPr>
        <w:t xml:space="preserve">Each working day began with a review of the Data Quality dashboard — a branch-level monitoring system that tracked the health of customer data across the regional portfolio. The dashboard was inherited rather than built from scratch, but it was actively maintained and updated on a five-day cycle, meaning that by the end of each working week, every branch in the region had been reviewed.</w:t>
      </w:r>
    </w:p>
    <w:p>
      <w:pPr>
        <w:spacing w:before="80" w:after="80"/>
      </w:pPr>
      <w:r>
        <w:t xml:space="preserve"/>
      </w:r>
    </w:p>
    <w:p>
      <w:pPr>
        <w:spacing w:before="80" w:after="120" w:line="280"/>
      </w:pPr>
      <w:r>
        <w:rPr>
          <w:rFonts w:ascii="Arial" w:cs="Arial" w:eastAsia="Arial" w:hAnsi="Arial"/>
          <w:color w:val="2C2C2A"/>
          <w:sz w:val="22"/>
          <w:szCs w:val="22"/>
        </w:rPr>
        <w:t xml:space="preserve">The review covered automated alerts flagged by scripts running against the master dataset, anomalies in records used for daily liquidity reporting, and the status of datasets that needed to be clean and locked before they could feed into downstream reporting processes. A minimum of four data quality anomalies were identified and resolved per week through this process — ranging from field formatting inconsistencies and missing mandatory fields to classification errors requiring escalation. Where issues were identified, they were logged, investigated, and either resolved directly or escalated to the relevant data engineer or branch contact for remediation.</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Golden Source Enforcement</w:t>
      </w:r>
    </w:p>
    <w:p>
      <w:pPr>
        <w:spacing w:before="80" w:after="120" w:line="280"/>
      </w:pPr>
      <w:r>
        <w:rPr>
          <w:rFonts w:ascii="Arial" w:cs="Arial" w:eastAsia="Arial" w:hAnsi="Arial"/>
          <w:color w:val="2C2C2A"/>
          <w:sz w:val="22"/>
          <w:szCs w:val="22"/>
        </w:rPr>
        <w:t xml:space="preserve">One of the most persistent data quality risks in any large organisation with a distributed branch network is the proliferation of unofficial data sources. At GTCO, I was responsible for ensuring that the Business Objects reporting platform functioned as the primary and exclusive source of truth for all marketing and commercial data consumption. This was not a passive arrangement. It required active enforcement: directing all data requests from the marketing team through the BO platform, monitoring for instances where teams attempted to work from local extracts or unofficial files, and working with data engineers to ensure that new data requirements were incorporated into the platform rather than addressed through workarounds.</w:t>
      </w:r>
    </w:p>
    <w:p>
      <w:pPr>
        <w:spacing w:before="80" w:after="80"/>
      </w:pPr>
      <w:r>
        <w:t xml:space="preserve"/>
      </w:r>
    </w:p>
    <w:p>
      <w:pPr>
        <w:spacing w:before="80" w:after="120" w:line="280"/>
      </w:pPr>
      <w:r>
        <w:rPr>
          <w:rFonts w:ascii="Arial" w:cs="Arial" w:eastAsia="Arial" w:hAnsi="Arial"/>
          <w:color w:val="2C2C2A"/>
          <w:sz w:val="22"/>
          <w:szCs w:val="22"/>
        </w:rPr>
        <w:t xml:space="preserve">The BO platform sat on top of the SQL database, with Power BI used for dashboard visualisation and stakeholder reporting. The architecture ensured that any report spooled from the system reflected the current state of the master record. Access controls determined which users could see which data and at what level of granularity, ensuring that sensitive customer information reached only those with a legitimate business need and the appropriate authorisation.</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PII Access Governance</w:t>
      </w:r>
    </w:p>
    <w:p>
      <w:pPr>
        <w:spacing w:before="80" w:after="120" w:line="280"/>
      </w:pPr>
      <w:r>
        <w:rPr>
          <w:rFonts w:ascii="Arial" w:cs="Arial" w:eastAsia="Arial" w:hAnsi="Arial"/>
          <w:color w:val="2C2C2A"/>
          <w:sz w:val="22"/>
          <w:szCs w:val="22"/>
        </w:rPr>
        <w:t xml:space="preserve">Managing access to Personally Identifiable Information was a daily operational responsibility, not a periodic compliance exercise. In a bank with a regional portfolio of 3.9 million customers, the volume of PII in active use across marketing, commercial, and operations teams is significant. The stewardship function was responsible for reviewing and maintaining the access permissions that determined who could see customer names, addresses, identity documents, income data, and account details.</w:t>
      </w:r>
    </w:p>
    <w:p>
      <w:pPr>
        <w:spacing w:before="80" w:after="80"/>
      </w:pPr>
      <w:r>
        <w:t xml:space="preserve"/>
      </w:r>
    </w:p>
    <w:p>
      <w:pPr>
        <w:spacing w:before="80" w:after="120" w:line="280"/>
      </w:pPr>
      <w:r>
        <w:rPr>
          <w:rFonts w:ascii="Arial" w:cs="Arial" w:eastAsia="Arial" w:hAnsi="Arial"/>
          <w:color w:val="2C2C2A"/>
          <w:sz w:val="22"/>
          <w:szCs w:val="22"/>
        </w:rPr>
        <w:t xml:space="preserve">Under the NDPA 2023, access to customer PII must be proportionate, purposeful, and documented. In practice this meant that when a marketing team requested access to customer income data for a segmentation exercise, the steward's role was to confirm that the data was being drawn from the golden source, that the use case was legitimate and documented, and that access was granted at the appropriate level of granularity rather than as an unrestricted extract.</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Data Lineage and Metadata Documentation</w:t>
      </w:r>
    </w:p>
    <w:p>
      <w:pPr>
        <w:spacing w:before="80" w:after="120" w:line="280"/>
      </w:pPr>
      <w:r>
        <w:rPr>
          <w:rFonts w:ascii="Arial" w:cs="Arial" w:eastAsia="Arial" w:hAnsi="Arial"/>
          <w:color w:val="2C2C2A"/>
          <w:sz w:val="22"/>
          <w:szCs w:val="22"/>
        </w:rPr>
        <w:t xml:space="preserve">A significant portion of the ongoing stewardship work involved documenting where data came from, how it flowed through the bank's systems, and what it meant. Seven datasets were formally tagged and documented within the data catalogue during the tenure, covering the core customer, account, and product data assets within the marketing and commercial banking domains. Each dataset was documented with its source, lineage, update frequency, access permissions, and business definition.</w:t>
      </w:r>
    </w:p>
    <w:p>
      <w:pPr>
        <w:spacing w:before="80" w:after="80"/>
      </w:pPr>
      <w:r>
        <w:t xml:space="preserve"/>
      </w:r>
    </w:p>
    <w:p>
      <w:pPr>
        <w:spacing w:before="80" w:after="120" w:line="280"/>
      </w:pPr>
      <w:r>
        <w:rPr>
          <w:rFonts w:ascii="Arial" w:cs="Arial" w:eastAsia="Arial" w:hAnsi="Arial"/>
          <w:color w:val="2C2C2A"/>
          <w:sz w:val="22"/>
          <w:szCs w:val="22"/>
        </w:rPr>
        <w:t xml:space="preserve">Data lineage documentation tracked the journey of key data elements from their point of origin through to their point of consumption. For the marketing function, this included customer income data, product holding information, and communication consent flags. For the commercial banking function, it included corporate identity data, facility information, and account classification fields. In an organisation of GTCO's scale, an undocumented dataset is effectively invisible to the teams that need it. The catalogue made data findable, which in turn made it usable.</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Collaboration with Data Engineers</w:t>
      </w:r>
    </w:p>
    <w:p>
      <w:pPr>
        <w:spacing w:before="80" w:after="120" w:line="280"/>
      </w:pPr>
      <w:r>
        <w:rPr>
          <w:rFonts w:ascii="Arial" w:cs="Arial" w:eastAsia="Arial" w:hAnsi="Arial"/>
          <w:color w:val="2C2C2A"/>
          <w:sz w:val="22"/>
          <w:szCs w:val="22"/>
        </w:rPr>
        <w:t xml:space="preserve">The stewardship role operated as a bridge between the business units it served and the technical teams responsible for the underlying data infrastructure. One practical output of this collaboration was the development of automated cleansing rules: scripts that identified and corrected common data errors at source, rather than requiring manual intervention each time they appeared.</w:t>
      </w:r>
    </w:p>
    <w:p>
      <w:pPr>
        <w:spacing w:before="80" w:after="80"/>
      </w:pPr>
      <w:r>
        <w:t xml:space="preserve"/>
      </w:r>
    </w:p>
    <w:p>
      <w:pPr>
        <w:spacing w:before="80" w:after="120" w:line="280"/>
      </w:pPr>
      <w:r>
        <w:rPr>
          <w:rFonts w:ascii="Arial" w:cs="Arial" w:eastAsia="Arial" w:hAnsi="Arial"/>
          <w:color w:val="2C2C2A"/>
          <w:sz w:val="22"/>
          <w:szCs w:val="22"/>
        </w:rPr>
        <w:t xml:space="preserve">A representative example was the standardisation of address fields. Branch-level data entry across 52 locations inevitably produced inconsistencies: abbreviated street names recorded differently across records, inconsistent formatting of town and state fields, and legacy entries that predated any formatting standard. Working with data engineers, rules were written that standardised these fields automatically, reducing the manual review burden and improving address data consistency across the regional portfolio.</w:t>
      </w:r>
    </w:p>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5. The Basis-to-Finacle Core Banking Migration</w:t>
      </w:r>
    </w:p>
    <w:p>
      <w:pPr>
        <w:pBdr>
          <w:bottom w:val="single" w:color="2E75B6" w:sz="4" w:space="1"/>
        </w:pBdr>
        <w:spacing w:before="160" w:after="160"/>
      </w:pPr>
      <w:r>
        <w:t xml:space="preserve"/>
      </w:r>
    </w:p>
    <w:p>
      <w:pPr>
        <w:spacing w:before="80" w:after="120" w:line="280"/>
      </w:pPr>
      <w:r>
        <w:rPr>
          <w:rFonts w:ascii="Arial" w:cs="Arial" w:eastAsia="Arial" w:hAnsi="Arial"/>
          <w:color w:val="2C2C2A"/>
          <w:sz w:val="22"/>
          <w:szCs w:val="22"/>
        </w:rPr>
        <w:t xml:space="preserve">The most significant programme contribution of the 26-month tenure was the bank's migration from its legacy core banking platform, Basis, to the Infosys Finacle system. Core banking migrations are among the most complex and high-risk programmes a financial institution can undertake. Every customer record, account, product holding, and transaction history must be assessed, cleansed, mapped, and validated before it can be moved. Data that is incomplete, incorrectly classified, or structurally incompatible with the new system does not migrate cleanly: it creates errors, exceptions, and reconciliation failures that can take months to resolve after go-live.</w:t>
      </w:r>
    </w:p>
    <w:p>
      <w:pPr>
        <w:spacing w:before="80" w:after="80"/>
      </w:pPr>
      <w:r>
        <w:t xml:space="preserve"/>
      </w:r>
    </w:p>
    <w:p>
      <w:pPr>
        <w:spacing w:before="80" w:after="120" w:line="280"/>
      </w:pPr>
      <w:r>
        <w:rPr>
          <w:rFonts w:ascii="Arial" w:cs="Arial" w:eastAsia="Arial" w:hAnsi="Arial"/>
          <w:color w:val="2C2C2A"/>
          <w:sz w:val="22"/>
          <w:szCs w:val="22"/>
        </w:rPr>
        <w:t xml:space="preserve">The migration was structured as a 90-day programme, executed in three batches. My contribution covered the marketing and commercial banking data domains, with direct responsibility for assessing 7,000 customer accounts for CIF consolidation and migration readiness, of which 2,000+ required full re-profiling. The work spanned five interconnected workstreams.</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5.1 Pre-Migration Data Health Assessment</w:t>
      </w:r>
    </w:p>
    <w:p>
      <w:pPr>
        <w:spacing w:before="80" w:after="120" w:line="280"/>
      </w:pPr>
      <w:r>
        <w:rPr>
          <w:rFonts w:ascii="Arial" w:cs="Arial" w:eastAsia="Arial" w:hAnsi="Arial"/>
          <w:color w:val="2C2C2A"/>
          <w:sz w:val="22"/>
          <w:szCs w:val="22"/>
        </w:rPr>
        <w:t xml:space="preserve">Each of the 7,000 accounts in my direct remit was assessed for CIF consolidation suitability and migration readiness. Of these, 2,000+ required full re-profiling — a deeper assessment and remediation exercise carried out because the initial review identified data quality issues that could not be resolved through automated cleansing alone. These accounts were profiled across four dimensions: completeness, accuracy, validity, and documentation completeness.</w:t>
      </w:r>
    </w:p>
    <w:p>
      <w:pPr>
        <w:spacing w:before="80" w:after="80"/>
      </w:pPr>
      <w:r>
        <w:t xml:space="preserve"/>
      </w:r>
    </w:p>
    <w:p>
      <w:pPr>
        <w:spacing w:before="80" w:after="120" w:line="280"/>
      </w:pPr>
      <w:r>
        <w:rPr>
          <w:rFonts w:ascii="Arial" w:cs="Arial" w:eastAsia="Arial" w:hAnsi="Arial"/>
          <w:color w:val="2C2C2A"/>
          <w:sz w:val="22"/>
          <w:szCs w:val="22"/>
        </w:rPr>
        <w:t xml:space="preserve">A significant structural finding emerged from the corporate segment. 63% of corporate accounts in scope had been captured under the legacy Basis system using only their CAC registration number as the primary identifier, without associated identity validation data — director IDs, ID validity dates, or supporting documentation. Finacle required this data as a mandatory field. The gap was not a formatting issue. It was a structural incompatibility between how the legacy system had been capturing corporate identity for years and what the new platform required from day one.</w:t>
      </w:r>
    </w:p>
    <w:p>
      <w:pPr>
        <w:spacing w:before="80" w:after="80"/>
      </w:pPr>
      <w:r>
        <w:t xml:space="preserve"/>
      </w:r>
    </w:p>
    <w:p>
      <w:pPr>
        <w:spacing w:before="80" w:after="120" w:line="280"/>
      </w:pPr>
      <w:r>
        <w:rPr>
          <w:rFonts w:ascii="Arial" w:cs="Arial" w:eastAsia="Arial" w:hAnsi="Arial"/>
          <w:color w:val="2C2C2A"/>
          <w:sz w:val="22"/>
          <w:szCs w:val="22"/>
        </w:rPr>
        <w:t xml:space="preserve">Additionally, each account was assessed for its customer classification. Retail and corporate accounts required different data profiles in Finacle. Within the corporate segment, a further classification was required: domestic corporate, expatriate, non-Nigerian, and accounts with foreign national involvement. The last category carries enhanced regulatory obligations under CBN policy, including Enhanced Due Diligence requirements. Identifying these accounts accurately before migration was a compliance obligation, not merely a data quality task.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53"/>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Retail</w:t>
            </w:r>
          </w:p>
        </w:tc>
        <w:tc>
          <w:tcPr>
            <w:tcW w:type="dxa" w:w="2453"/>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Corporate</w:t>
            </w:r>
          </w:p>
        </w:tc>
        <w:tc>
          <w:tcPr>
            <w:tcW w:type="dxa" w:w="2454"/>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Expatriate / Foreign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Completeness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PII fields</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 plus ID docs</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EDD documents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Accuracy</w:t>
            </w:r>
          </w:p>
        </w:tc>
        <w:tc>
          <w:tcPr>
            <w:tcW w:type="dxa" w:w="24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Name, address, DOB</w:t>
            </w:r>
          </w:p>
        </w:tc>
        <w:tc>
          <w:tcPr>
            <w:tcW w:type="dxa" w:w="24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Entity classification</w:t>
            </w:r>
          </w:p>
        </w:tc>
        <w:tc>
          <w:tcPr>
            <w:tcW w:type="dxa" w:w="245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Nationality, residency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Validity</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BVN / NIN linked</w:t>
            </w:r>
          </w:p>
        </w:tc>
        <w:tc>
          <w:tcPr>
            <w:tcW w:type="dxa" w:w="24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 active, ID valid</w:t>
            </w:r>
          </w:p>
        </w:tc>
        <w:tc>
          <w:tcPr>
            <w:tcW w:type="dxa" w:w="24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Passport, permit valid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24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Standard KYC pack</w:t>
            </w:r>
          </w:p>
        </w:tc>
        <w:tc>
          <w:tcPr>
            <w:tcW w:type="dxa" w:w="245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Board resolution, cert.</w:t>
            </w:r>
          </w:p>
        </w:tc>
        <w:tc>
          <w:tcPr>
            <w:tcW w:type="dxa" w:w="245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Enhanced KYC pack</w:t>
            </w:r>
          </w:p>
        </w:tc>
      </w:tr>
    </w:tbl>
    <w:p>
      <w:pPr>
        <w:spacing w:before="80" w:after="80"/>
      </w:pPr>
      <w:r>
        <w:t xml:space="preserve"/>
      </w:r>
    </w:p>
    <w:p>
      <w:pPr>
        <w:pStyle w:val="Heading2"/>
        <w:spacing w:before="280" w:after="100"/>
      </w:pPr>
      <w:r>
        <w:rPr>
          <w:rFonts w:ascii="Arial" w:cs="Arial" w:eastAsia="Arial" w:hAnsi="Arial"/>
          <w:b/>
          <w:bCs/>
          <w:color w:val="1B4F8A"/>
          <w:sz w:val="26"/>
          <w:szCs w:val="26"/>
        </w:rPr>
        <w:t xml:space="preserve">5.2 The CIF Consolidation</w:t>
      </w:r>
    </w:p>
    <w:p>
      <w:pPr>
        <w:spacing w:before="80" w:after="120" w:line="280"/>
      </w:pPr>
      <w:r>
        <w:rPr>
          <w:rFonts w:ascii="Arial" w:cs="Arial" w:eastAsia="Arial" w:hAnsi="Arial"/>
          <w:color w:val="2C2C2A"/>
          <w:sz w:val="22"/>
          <w:szCs w:val="22"/>
        </w:rPr>
        <w:t xml:space="preserve">A Customer Information File is the master record that links all of a customer's accounts, products, and relationships within the banking system. The principle of one customer, one CIF is foundational to a clean core banking environment: duplicate CIFs create fragmented customer views, compliance gaps, and reconciliation failures.</w:t>
      </w:r>
    </w:p>
    <w:p>
      <w:pPr>
        <w:spacing w:before="80" w:after="80"/>
      </w:pPr>
      <w:r>
        <w:t xml:space="preserve"/>
      </w:r>
    </w:p>
    <w:p>
      <w:pPr>
        <w:spacing w:before="80" w:after="120" w:line="280"/>
      </w:pPr>
      <w:r>
        <w:rPr>
          <w:rFonts w:ascii="Arial" w:cs="Arial" w:eastAsia="Arial" w:hAnsi="Arial"/>
          <w:color w:val="2C2C2A"/>
          <w:sz w:val="22"/>
          <w:szCs w:val="22"/>
        </w:rPr>
        <w:t xml:space="preserve">Across the regional portfolio, over 100,000 accounts were identified as duplicates requiring consolidation under single CIFs. My direct contribution covered 7,000 of those accounts. Duplicates had accumulated through several mechanisms: customers re-registering across branches, legacy records carried forward from previous system iterations without deduplication, and family members sharing contact details across accounts without adequate differentiation.</w:t>
      </w:r>
    </w:p>
    <w:p>
      <w:pPr>
        <w:spacing w:before="80" w:after="80"/>
      </w:pPr>
      <w:r>
        <w:t xml:space="preserve"/>
      </w:r>
    </w:p>
    <w:p>
      <w:pPr>
        <w:spacing w:before="80" w:after="120" w:line="280"/>
      </w:pPr>
      <w:r>
        <w:rPr>
          <w:rFonts w:ascii="Arial" w:cs="Arial" w:eastAsia="Arial" w:hAnsi="Arial"/>
          <w:color w:val="2C2C2A"/>
          <w:sz w:val="22"/>
          <w:szCs w:val="22"/>
        </w:rPr>
        <w:t xml:space="preserve">The consolidation process required more than technical matching. Where records were ambiguous — cases where the data alone could not confirm whether two accounts belonged to the same customer — they were escalated to the relevant account manager for clarification. Records that could not be resolved through this process were flagged and reported to the AML and compliance desk for further investigation. In a regulated environment, an incorrect consolidation is not a minor data error. It is a potential compliance failure.</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5.3 Data Remediation</w:t>
      </w:r>
    </w:p>
    <w:p>
      <w:pPr>
        <w:spacing w:before="80" w:after="120" w:line="280"/>
      </w:pPr>
      <w:r>
        <w:rPr>
          <w:rFonts w:ascii="Arial" w:cs="Arial" w:eastAsia="Arial" w:hAnsi="Arial"/>
          <w:color w:val="2C2C2A"/>
          <w:sz w:val="22"/>
          <w:szCs w:val="22"/>
        </w:rPr>
        <w:t xml:space="preserve">In parallel with profiling and classification, a set of remediation tasks was carried out to bring records up to the standard required by Finacle and by the bank's regulatory obligations. Tax ID records were reviewed and updated across the portfolio. Incomplete or missing tax identification data is both a compliance gap and an operational risk: without accurate tax IDs, the bank cannot meet its reporting obligations to the relevant Nigerian authorities.</w:t>
      </w:r>
    </w:p>
    <w:p>
      <w:pPr>
        <w:spacing w:before="80" w:after="80"/>
      </w:pPr>
      <w:r>
        <w:t xml:space="preserve"/>
      </w:r>
    </w:p>
    <w:p>
      <w:pPr>
        <w:spacing w:before="80" w:after="120" w:line="280"/>
      </w:pPr>
      <w:r>
        <w:rPr>
          <w:rFonts w:ascii="Arial" w:cs="Arial" w:eastAsia="Arial" w:hAnsi="Arial"/>
          <w:color w:val="2C2C2A"/>
          <w:sz w:val="22"/>
          <w:szCs w:val="22"/>
        </w:rPr>
        <w:t xml:space="preserve">Overdraft and loan accounts required a specific classification process before migration. Each facility was assessed and batched according to a predefined rule set covering six dimensions: the date the facility was originated, the type of facility accessed, the product category, the lifecycle stage of the account, the current condition of the facility, and whether the account was performing or non-performing. The predefined rule set was the quality control mechanism, not the analyst's judgement — ensuring consistent outputs across a complex, distributed portfolio.</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5.4 Marketing Consent Management</w:t>
      </w:r>
    </w:p>
    <w:p>
      <w:pPr>
        <w:spacing w:before="80" w:after="120" w:line="280"/>
      </w:pPr>
      <w:r>
        <w:rPr>
          <w:rFonts w:ascii="Arial" w:cs="Arial" w:eastAsia="Arial" w:hAnsi="Arial"/>
          <w:color w:val="2C2C2A"/>
          <w:sz w:val="22"/>
          <w:szCs w:val="22"/>
        </w:rPr>
        <w:t xml:space="preserve">As part of the migration programme, the bank was required to bring its marketing communications preferences into compliance with the NDPA 2023. The consent programme was coordinated across all 52 branches, with account officers taking direct responsibility for contacting customers in their portfolios and obtaining explicit preferences regarding SMS alerts versus email notifications.</w:t>
      </w:r>
    </w:p>
    <w:p>
      <w:pPr>
        <w:spacing w:before="80" w:after="80"/>
      </w:pPr>
      <w:r>
        <w:t xml:space="preserve"/>
      </w:r>
    </w:p>
    <w:p>
      <w:pPr>
        <w:spacing w:before="80" w:after="120" w:line="280"/>
      </w:pPr>
      <w:r>
        <w:rPr>
          <w:rFonts w:ascii="Arial" w:cs="Arial" w:eastAsia="Arial" w:hAnsi="Arial"/>
          <w:color w:val="2C2C2A"/>
          <w:sz w:val="22"/>
          <w:szCs w:val="22"/>
        </w:rPr>
        <w:t xml:space="preserve">The stewardship function's role in this programme was one of oversight and data governance rather than direct delivery. This involved tracking opt-in rates at branch level throughout the programme, maintaining the data infrastructure that recorded and stored consent flags accurately, ensuring that the default treatment applied to non-respondents was correctly implemented in the system, and reporting progress against compliance targets to the governance team. The programme achieved over 90% opt-in compliance across the regional base.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r>
              <w:rPr>
                <w:sz w:val="22"/>
                <w:szCs w:val="22"/>
              </w:rPr>
              <w:t xml:space="preserve"/>
            </w:r>
          </w:p>
        </w:tc>
        <w:tc>
          <w:tcPr>
            <w:tcW w:type="dxa" w:w="912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r>
              <w:rPr>
                <w:rFonts w:ascii="Arial" w:cs="Arial" w:eastAsia="Arial" w:hAnsi="Arial"/>
                <w:i/>
                <w:iCs/>
                <w:color w:val="1B3A5C"/>
                <w:sz w:val="21"/>
                <w:szCs w:val="21"/>
              </w:rPr>
              <w:t xml:space="preserve">Every consent decision — whether explicit or default — was accurately recorded, auditable, and aligned with NDPA requirements. In a 52-branch regional portfolio, the integrity of that data record was as important as the compliance rate itself.</w:t>
            </w:r>
          </w:p>
        </w:tc>
      </w:tr>
    </w:tbl>
    <w:p>
      <w:pPr>
        <w:spacing w:before="80" w:after="80"/>
      </w:pPr>
      <w:r>
        <w:t xml:space="preserve"/>
      </w:r>
    </w:p>
    <w:p>
      <w:pPr>
        <w:pStyle w:val="Heading2"/>
        <w:spacing w:before="280" w:after="100"/>
      </w:pPr>
      <w:r>
        <w:rPr>
          <w:rFonts w:ascii="Arial" w:cs="Arial" w:eastAsia="Arial" w:hAnsi="Arial"/>
          <w:b/>
          <w:bCs/>
          <w:color w:val="1B4F8A"/>
          <w:sz w:val="26"/>
          <w:szCs w:val="26"/>
        </w:rPr>
        <w:t xml:space="preserve">5.5 Cutover and Post-Migration Validation</w:t>
      </w:r>
    </w:p>
    <w:p>
      <w:pPr>
        <w:spacing w:before="80" w:after="120" w:line="280"/>
      </w:pPr>
      <w:r>
        <w:rPr>
          <w:rFonts w:ascii="Arial" w:cs="Arial" w:eastAsia="Arial" w:hAnsi="Arial"/>
          <w:color w:val="2C2C2A"/>
          <w:sz w:val="22"/>
          <w:szCs w:val="22"/>
        </w:rPr>
        <w:t xml:space="preserve">The three-batch cutover structure was designed to manage risk. Rather than migrating the entire regional portfolio in a single event, the phased approach allowed the team to validate the integrity of each batch before proceeding to the next. During each cutover phase, the validation work involved record count reconciliation between Basis and Finacle, confirming that no records had been lost or duplicated in transit. Anomalies identified post-cutover were logged, investigated, and resolved before the affected accounts were considered fully migrated.</w:t>
      </w:r>
    </w:p>
    <w:p>
      <w:pPr>
        <w:spacing w:before="80" w:after="80"/>
      </w:pPr>
      <w:r>
        <w:t xml:space="preserve"/>
      </w:r>
    </w:p>
    <w:p>
      <w:pPr>
        <w:spacing w:before="80" w:after="120" w:line="280"/>
      </w:pPr>
      <w:r>
        <w:rPr>
          <w:rFonts w:ascii="Arial" w:cs="Arial" w:eastAsia="Arial" w:hAnsi="Arial"/>
          <w:color w:val="2C2C2A"/>
          <w:sz w:val="22"/>
          <w:szCs w:val="22"/>
        </w:rPr>
        <w:t xml:space="preserve">The final validation step was a sanity check of the live Finacle environment: confirming that accounts were accessible, correctly classified, and functioning as expected within the new system before the legacy Basis platform was decommissioned.</w:t>
      </w:r>
    </w:p>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6. The Non-Performing Loan Portfolio</w:t>
      </w:r>
    </w:p>
    <w:p>
      <w:pPr>
        <w:pBdr>
          <w:bottom w:val="single" w:color="2E75B6" w:sz="4" w:space="1"/>
        </w:pBdr>
        <w:spacing w:before="160" w:after="160"/>
      </w:pPr>
      <w:r>
        <w:t xml:space="preserve"/>
      </w:r>
    </w:p>
    <w:p>
      <w:pPr>
        <w:pStyle w:val="Heading2"/>
        <w:spacing w:before="280" w:after="100"/>
      </w:pPr>
      <w:r>
        <w:rPr>
          <w:rFonts w:ascii="Arial" w:cs="Arial" w:eastAsia="Arial" w:hAnsi="Arial"/>
          <w:b/>
          <w:bCs/>
          <w:color w:val="1B4F8A"/>
          <w:sz w:val="26"/>
          <w:szCs w:val="26"/>
        </w:rPr>
        <w:t xml:space="preserve">Emerging From the Migration: A Finding With Board-Level Consequences</w:t>
      </w:r>
    </w:p>
    <w:p>
      <w:pPr>
        <w:spacing w:before="80" w:after="120" w:line="280"/>
      </w:pPr>
      <w:r>
        <w:rPr>
          <w:rFonts w:ascii="Arial" w:cs="Arial" w:eastAsia="Arial" w:hAnsi="Arial"/>
          <w:color w:val="2C2C2A"/>
          <w:sz w:val="22"/>
          <w:szCs w:val="22"/>
        </w:rPr>
        <w:t xml:space="preserve">The loan and overdraft classification work described in Section 5 was designed to prepare facilities data for migration. What it also did — as a direct by-product of the structured profiling exercise — was surface a subset of accounts that had no place in a clean core banking environment. During the process of batching facilities by date, type, lifecycle stage, condition, and performance status, a portfolio of non-performing loan balances emerged that met a specific and troubling profile: stale for over ten years, with no recovery activity on record, and with a combined book value of approximately ₦4.2 billion naira.</w:t>
      </w:r>
    </w:p>
    <w:p>
      <w:pPr>
        <w:spacing w:before="80" w:after="80"/>
      </w:pPr>
      <w:r>
        <w:t xml:space="preserve"/>
      </w:r>
    </w:p>
    <w:p>
      <w:pPr>
        <w:spacing w:before="80" w:after="120" w:line="280"/>
      </w:pPr>
      <w:r>
        <w:rPr>
          <w:rFonts w:ascii="Arial" w:cs="Arial" w:eastAsia="Arial" w:hAnsi="Arial"/>
          <w:color w:val="2C2C2A"/>
          <w:sz w:val="22"/>
          <w:szCs w:val="22"/>
        </w:rPr>
        <w:t xml:space="preserve">These were not marginal cases. They were loan balances that had accumulated, unresolved, across more than a decade — carried on the books through prior ownership transitions and a previous system migration without being identified or addressed. The migration profiling exercise, by forcing every facility through a structured classification process for the first time, made them visible.</w:t>
      </w:r>
    </w:p>
    <w:p>
      <w:pPr>
        <w:spacing w:before="80" w:after="80"/>
      </w:pPr>
      <w:r>
        <w:t xml:space="preserve"/>
      </w:r>
    </w:p>
    <w:p>
      <w:pPr>
        <w:spacing w:before="80" w:after="120" w:line="280"/>
      </w:pPr>
      <w:r>
        <w:rPr>
          <w:rFonts w:ascii="Arial" w:cs="Arial" w:eastAsia="Arial" w:hAnsi="Arial"/>
          <w:color w:val="2C2C2A"/>
          <w:sz w:val="22"/>
          <w:szCs w:val="22"/>
        </w:rPr>
        <w:t xml:space="preserve">The stewardship function's role was to identify, classify, and document this portfolio accurately, and to surface the finding to the appropriate level of the organisation. The decision of what to do with the portfolio was an executive one. The data work provided the evidence base on which that decision could be made.</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The CBN Recapitalisation Context</w:t>
      </w:r>
    </w:p>
    <w:p>
      <w:pPr>
        <w:spacing w:before="80" w:after="120" w:line="280"/>
      </w:pPr>
      <w:r>
        <w:rPr>
          <w:rFonts w:ascii="Arial" w:cs="Arial" w:eastAsia="Arial" w:hAnsi="Arial"/>
          <w:color w:val="2C2C2A"/>
          <w:sz w:val="22"/>
          <w:szCs w:val="22"/>
        </w:rPr>
        <w:t xml:space="preserve">The timing of this finding was commercially significant. At the point when the stale loan portfolio was identified, the CBN's recapitalisation directive was active, requiring Nigerian commercial banks to meet revised minimum capital thresholds within a defined timeframe. A loan balance that has not moved in ten years, with no recovery activity on record, is not a recoverable asset in any meaningful sense. Carrying it on the balance sheet inflates the apparent size of the loan book without adding real capital value.</w:t>
      </w:r>
    </w:p>
    <w:p>
      <w:pPr>
        <w:spacing w:before="80" w:after="80"/>
      </w:pPr>
      <w:r>
        <w:t xml:space="preserve"/>
      </w:r>
    </w:p>
    <w:p>
      <w:pPr>
        <w:spacing w:before="80" w:after="120" w:line="280"/>
      </w:pPr>
      <w:r>
        <w:rPr>
          <w:rFonts w:ascii="Arial" w:cs="Arial" w:eastAsia="Arial" w:hAnsi="Arial"/>
          <w:color w:val="2C2C2A"/>
          <w:sz w:val="22"/>
          <w:szCs w:val="22"/>
        </w:rPr>
        <w:t xml:space="preserve">The executive team proceeded with write-offs totalling ₦3.8 billion naira — representing the portion of the ₦4.2 billion portfolio assessed as having no realistic recovery value. The remaining ₦400 million was retained on the books with active recovery measures attached. The data stewardship function's contribution was to ensure that the identification, classification, and documentation of the portfolio was accurate, complete, and defensible. The decision itself was made at board level. The data work made that decision possible, and the timing — coinciding with the CBN's active recapitalisation directive — made it commercially and regulatorily significant.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r>
              <w:rPr>
                <w:sz w:val="22"/>
                <w:szCs w:val="22"/>
              </w:rPr>
              <w:t xml:space="preserve"/>
            </w:r>
          </w:p>
        </w:tc>
        <w:tc>
          <w:tcPr>
            <w:tcW w:type="dxa" w:w="912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r>
              <w:rPr>
                <w:rFonts w:ascii="Arial" w:cs="Arial" w:eastAsia="Arial" w:hAnsi="Arial"/>
                <w:i/>
                <w:iCs/>
                <w:color w:val="1B3A5C"/>
                <w:sz w:val="21"/>
                <w:szCs w:val="21"/>
              </w:rPr>
              <w:t xml:space="preserve">A steward working through a routine migration classification exercise identified a portfolio with direct balance sheet implications, surfaced it through the correct governance channel, and provided the evidence base for an executive decision that supported the bank's capital position during a period of regulatory scrutiny. That is what embedded stewardship looks like when it is functioning correctly.</w:t>
            </w:r>
          </w:p>
        </w:tc>
      </w:tr>
    </w:tbl>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7. The Regulatory Dimension</w:t>
      </w:r>
    </w:p>
    <w:p>
      <w:pPr>
        <w:pBdr>
          <w:bottom w:val="single" w:color="2E75B6" w:sz="4" w:space="1"/>
        </w:pBdr>
        <w:spacing w:before="160" w:after="160"/>
      </w:pPr>
      <w:r>
        <w:t xml:space="preserve"/>
      </w:r>
    </w:p>
    <w:p>
      <w:pPr>
        <w:spacing w:before="80" w:after="120" w:line="280"/>
      </w:pPr>
      <w:r>
        <w:rPr>
          <w:rFonts w:ascii="Arial" w:cs="Arial" w:eastAsia="Arial" w:hAnsi="Arial"/>
          <w:color w:val="2C2C2A"/>
          <w:sz w:val="22"/>
          <w:szCs w:val="22"/>
        </w:rPr>
        <w:t xml:space="preserve">Data stewardship in a regulated financial institution is inseparable from the regulatory environment in which that institution operates. At GTCO Plc, the compliance thread ran through every aspect of the stewardship role: from the KYC standards applied at account opening, to the consent obligations governing marketing communications, to the enhanced due diligence requirements triggered by foreign national account classifications, to the identity linkage mandates enforced across the entire customer base.</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The Central Bank of Nigeria (CBN)</w:t>
      </w:r>
    </w:p>
    <w:p>
      <w:pPr>
        <w:spacing w:before="80" w:after="120" w:line="280"/>
      </w:pPr>
      <w:r>
        <w:rPr>
          <w:rFonts w:ascii="Arial" w:cs="Arial" w:eastAsia="Arial" w:hAnsi="Arial"/>
          <w:color w:val="2C2C2A"/>
          <w:sz w:val="22"/>
          <w:szCs w:val="22"/>
        </w:rPr>
        <w:t xml:space="preserve">The CBN is the primary regulator of all licensed deposit-taking institutions in Nigeria. Three CBN-driven requirements directly shaped the stewardship workstream. The first was the NIN-BVN linkage requirement — accounts without valid linkage were non-compliant, and identifying and resolving these gaps was a standing stewardship responsibility that produced measurable results: linkage coverage increased from 9% over the preceding 12 months to 33% within 60 days.</w:t>
      </w:r>
    </w:p>
    <w:p>
      <w:pPr>
        <w:spacing w:before="80" w:after="80"/>
      </w:pPr>
      <w:r>
        <w:t xml:space="preserve"/>
      </w:r>
    </w:p>
    <w:p>
      <w:pPr>
        <w:spacing w:before="80" w:after="120" w:line="280"/>
      </w:pPr>
      <w:r>
        <w:rPr>
          <w:rFonts w:ascii="Arial" w:cs="Arial" w:eastAsia="Arial" w:hAnsi="Arial"/>
          <w:color w:val="2C2C2A"/>
          <w:sz w:val="22"/>
          <w:szCs w:val="22"/>
        </w:rPr>
        <w:t xml:space="preserve">The second was the Enhanced Due Diligence requirement for foreign national and expatriate accounts. The classification work carried out during the migration — identifying which accounts fell into these categories and flagging them accordingly — was a direct response to this regulatory obligation. The third was the recapitalisation directive, which created the commercial and regulatory context for the non-performing loan portfolio finding described in Section 6.</w:t>
      </w:r>
    </w:p>
    <w:p>
      <w:pPr>
        <w:spacing w:before="80" w:after="80"/>
      </w:pPr>
      <w:r>
        <w:t xml:space="preserve"/>
      </w:r>
    </w:p>
    <w:p>
      <w:pPr>
        <w:spacing w:before="80" w:after="120" w:line="280"/>
      </w:pPr>
      <w:r>
        <w:rPr>
          <w:rFonts w:ascii="Arial" w:cs="Arial" w:eastAsia="Arial" w:hAnsi="Arial"/>
          <w:color w:val="2C2C2A"/>
          <w:sz w:val="22"/>
          <w:szCs w:val="22"/>
        </w:rPr>
        <w:t xml:space="preserve">In a UK context, the CBN's role maps most closely to the Financial Conduct Authority and the Prudential Regulation Authority: the FCA governing conduct, customer treatment, and data obligations, and the PRA governing capital adequacy and prudential standards.</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The Nigeria Data Protection Act 2023 and the NDPC</w:t>
      </w:r>
    </w:p>
    <w:p>
      <w:pPr>
        <w:spacing w:before="80" w:after="120" w:line="280"/>
      </w:pPr>
      <w:r>
        <w:rPr>
          <w:rFonts w:ascii="Arial" w:cs="Arial" w:eastAsia="Arial" w:hAnsi="Arial"/>
          <w:color w:val="2C2C2A"/>
          <w:sz w:val="22"/>
          <w:szCs w:val="22"/>
        </w:rPr>
        <w:t xml:space="preserve">The NDPA 2023 introduced binding requirements around lawful basis for data processing, data subject rights, consent management, data minimisation, and breach notification. Its structure and intent closely parallel the UK General Data Protection Regulation and the Data Protection Act 2018. Two aspects were directly relevant to the stewardship role: the consent management obligation for marketing communications, and the access governance obligation requiring that PII access be proportionate, purposeful, and documented.</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AML Compliance</w:t>
      </w:r>
    </w:p>
    <w:p>
      <w:pPr>
        <w:spacing w:before="80" w:after="120" w:line="280"/>
      </w:pPr>
      <w:r>
        <w:rPr>
          <w:rFonts w:ascii="Arial" w:cs="Arial" w:eastAsia="Arial" w:hAnsi="Arial"/>
          <w:color w:val="2C2C2A"/>
          <w:sz w:val="22"/>
          <w:szCs w:val="22"/>
        </w:rPr>
        <w:t xml:space="preserve">Anti-money laundering obligations at GTCO were governed by CBN AML guidelines, aligned to FATF standards that underpin AML frameworks globally, including the UK's Money Laundering Regulations 2017. The stewardship function's AML touchpoints were specific and operational: Enhanced Due Diligence flagging for foreign national and expatriate accounts, and escalation of ambiguous CIF consolidation cases to the AML and compliance desk. Data stewardship enables AML compliance. It does not replace it.</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Identity Standards: NIN and BVN</w:t>
      </w:r>
    </w:p>
    <w:p>
      <w:pPr>
        <w:spacing w:before="80" w:after="120" w:line="280"/>
      </w:pPr>
      <w:r>
        <w:rPr>
          <w:rFonts w:ascii="Arial" w:cs="Arial" w:eastAsia="Arial" w:hAnsi="Arial"/>
          <w:color w:val="2C2C2A"/>
          <w:sz w:val="22"/>
          <w:szCs w:val="22"/>
        </w:rPr>
        <w:t xml:space="preserve">The National Identity Number is the primary civil identity credential in Nigeria. The Bank Verification Number is a biometric identifier linked to a customer's fingerprint data, designed specifically to prevent fraud and duplicate account creation across the financial sector. Resolving NIN and BVN linkage gaps simultaneously reduced compliance exposure and improved the accuracy of the customer record — a dual outcome that reflects the relationship between regulatory obligation and data quality improvement. For a UK audience, the closest functional equivalents are the National Insurance number and biometric passport or driving licence data under FCA KYC standards.</w:t>
      </w:r>
    </w:p>
    <w:p>
      <w:pPr>
        <w:spacing w:before="80" w:after="80"/>
      </w:pPr>
      <w:r>
        <w:t xml:space="preserve"/>
      </w:r>
    </w:p>
    <w:p>
      <w:pPr>
        <w:spacing w:before="80" w:after="120" w:line="280"/>
      </w:pPr>
      <w:r>
        <w:rPr>
          <w:rFonts w:ascii="Arial" w:cs="Arial" w:eastAsia="Arial" w:hAnsi="Arial"/>
          <w:color w:val="2C2C2A"/>
          <w:sz w:val="22"/>
          <w:szCs w:val="22"/>
        </w:rPr>
        <w:t xml:space="preserve">The table below maps each Nigerian regulatory framework to its UK equivalent for direct reference.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4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Nigerian Framework</w:t>
            </w:r>
          </w:p>
        </w:tc>
        <w:tc>
          <w:tcPr>
            <w:tcW w:type="dxa" w:w="34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UK Equivalent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Banking Regulation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FCA and PRA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Protection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NDPA 2023 / NDPC</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UK GDPR / ICO / DPA 2018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AML Compliance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CBN AML Guidelines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FCA AML / MLR 2017</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Identity Verification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NIN / BVN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National Insurance / KYC docs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Registry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Companies House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Deposit Protection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NDIC</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FSCS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 Consent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NDPC / NDPA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PECR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r>
              <w:rPr>
                <w:sz w:val="22"/>
                <w:szCs w:val="22"/>
              </w:rPr>
              <w:t xml:space="preserve"/>
            </w:r>
          </w:p>
        </w:tc>
        <w:tc>
          <w:tcPr>
            <w:tcW w:type="dxa" w:w="912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r>
              <w:rPr>
                <w:rFonts w:ascii="Arial" w:cs="Arial" w:eastAsia="Arial" w:hAnsi="Arial"/>
                <w:i/>
                <w:iCs/>
                <w:color w:val="1B3A5C"/>
                <w:sz w:val="21"/>
                <w:szCs w:val="21"/>
              </w:rPr>
              <w:t xml:space="preserve">The practical demands of working within a CBN and NDPC-regulated environment — audit readiness, documentation standards, proportionate access governance, and compliance discipline applied daily — are directly transferable to any UK financial institution operating under FCA and PRA oversight.</w:t>
            </w:r>
          </w:p>
        </w:tc>
      </w:tr>
    </w:tbl>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8. Key Outcomes and Business Impact</w:t>
      </w:r>
    </w:p>
    <w:p>
      <w:pPr>
        <w:pBdr>
          <w:bottom w:val="single" w:color="2E75B6" w:sz="4" w:space="1"/>
        </w:pBdr>
        <w:spacing w:before="160" w:after="160"/>
      </w:pPr>
      <w:r>
        <w:t xml:space="preserve"/>
      </w:r>
    </w:p>
    <w:p>
      <w:pPr>
        <w:spacing w:before="80" w:after="120" w:line="280"/>
      </w:pPr>
      <w:r>
        <w:rPr>
          <w:rFonts w:ascii="Arial" w:cs="Arial" w:eastAsia="Arial" w:hAnsi="Arial"/>
          <w:color w:val="2C2C2A"/>
          <w:sz w:val="22"/>
          <w:szCs w:val="22"/>
        </w:rPr>
        <w:t xml:space="preserve">The outcomes of this engagement operated at three levels: operational, regulatory, and commercial. The table below summarises the principal impacts.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Impact Area</w:t>
            </w:r>
          </w:p>
        </w:tc>
        <w:tc>
          <w:tcPr>
            <w:tcW w:type="dxa" w:w="6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Migration delivery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7,000 accounts assessed for CIF consolidation; 2,000+ fully re-profiled and migrated across three batch cutovers within the 90-day programme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CIF consolidation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Personal contribution of 7,000 accounts to the regional consolidation of 100,000+ duplicate accounts into single Customer Information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 identity gap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 of corporate accounts in scope identified with missing identity validation data; gap remediated before go-live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NIN/BVN linkage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Coverage increased from 9% over 12 months to 33% within 60 days through structured gap identification and resolution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Consent programme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opt-in compliance achieved across 52 branches; stewardship function provided oversight, tracking, and data governance throughout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Balance sheet integrity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₦4.2 billion NPL portfolio identified; ₦3.8 billion written off at executive level during CBN recapitalisation period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Golden source integrity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 platform enforced as exclusive source of truth; minimum 4 data quality anomalies identified and resolved per week across 52 branches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catalogue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 datasets formally tagged, documented, and governed across marketing and commercial banking domains</w:t>
            </w:r>
          </w:p>
        </w:tc>
      </w:tr>
    </w:tbl>
    <w:p>
      <w:pPr>
        <w:spacing w:before="80" w:after="80"/>
      </w:pPr>
      <w:r>
        <w:t xml:space="preserve"/>
      </w:r>
    </w:p>
    <w:p>
      <w:pPr>
        <w:pStyle w:val="Heading2"/>
        <w:spacing w:before="280" w:after="100"/>
      </w:pPr>
      <w:r>
        <w:rPr>
          <w:rFonts w:ascii="Arial" w:cs="Arial" w:eastAsia="Arial" w:hAnsi="Arial"/>
          <w:b/>
          <w:bCs/>
          <w:color w:val="1B4F8A"/>
          <w:sz w:val="26"/>
          <w:szCs w:val="26"/>
        </w:rPr>
        <w:t xml:space="preserve">On Migration Delivery</w:t>
      </w:r>
    </w:p>
    <w:p>
      <w:pPr>
        <w:spacing w:before="80" w:after="120" w:line="280"/>
      </w:pPr>
      <w:r>
        <w:rPr>
          <w:rFonts w:ascii="Arial" w:cs="Arial" w:eastAsia="Arial" w:hAnsi="Arial"/>
          <w:color w:val="2C2C2A"/>
          <w:sz w:val="22"/>
          <w:szCs w:val="22"/>
        </w:rPr>
        <w:t xml:space="preserve">Delivering a clean, classified, validated dataset across a 90-day, three-batch core banking migration is a specific and measurable outcome. The corporate identity gap, which had existed unresolved in the legacy system for years, was identified and remediated before it could create post-migration exceptions in the new environment. Data that is not cleaned before a core banking migration does not disappear — it migrates with the errors intact and creates reconciliation failures that can take months to resolve. Pre-migration remediation is substantially cheaper, faster, and less disruptive than post-migration correction.</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On the NIN and BVN Linkage Achievement</w:t>
      </w:r>
    </w:p>
    <w:p>
      <w:pPr>
        <w:spacing w:before="80" w:after="120" w:line="280"/>
      </w:pPr>
      <w:r>
        <w:rPr>
          <w:rFonts w:ascii="Arial" w:cs="Arial" w:eastAsia="Arial" w:hAnsi="Arial"/>
          <w:color w:val="2C2C2A"/>
          <w:sz w:val="22"/>
          <w:szCs w:val="22"/>
        </w:rPr>
        <w:t xml:space="preserve">The improvement from 9% linkage over 12 months to 33% within 60 days is the single most clearly quantified outcome of the engagement. It represents a structural improvement in the compliance and data quality baseline of the regional portfolio — not a one-off cleanse but a sustained, systematic effort that delivered results an order of magnitude faster than the prior approach. For a UK recruiter, this maps directly to the kind of identity verification and KYC remediation work expected of data governance professionals in FCA-regulated institutions.</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On Balance Sheet Integrity</w:t>
      </w:r>
    </w:p>
    <w:p>
      <w:pPr>
        <w:spacing w:before="80" w:after="120" w:line="280"/>
      </w:pPr>
      <w:r>
        <w:rPr>
          <w:rFonts w:ascii="Arial" w:cs="Arial" w:eastAsia="Arial" w:hAnsi="Arial"/>
          <w:color w:val="2C2C2A"/>
          <w:sz w:val="22"/>
          <w:szCs w:val="22"/>
        </w:rPr>
        <w:t xml:space="preserve">The identification of the ₦4.2 billion NPL portfolio, and the ₦3.8 billion write-off decision that followed, produced a balance sheet outcome that extended well beyond the data stewardship function. The write-offs removed distorting entries that had accumulated over more than a decade, bringing the loan book into closer alignment with recoverable reality. The data stewardship function did not make the write-off decision. What it did was make the decision possible — by identifying the portfolio accurately, classifying it correctly, and surfacing the finding through the appropriate governance channel with sufficient documentation to support an executive judgement.</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On Sustained Governance</w:t>
      </w:r>
    </w:p>
    <w:p>
      <w:pPr>
        <w:spacing w:before="80" w:after="120" w:line="280"/>
      </w:pPr>
      <w:r>
        <w:rPr>
          <w:rFonts w:ascii="Arial" w:cs="Arial" w:eastAsia="Arial" w:hAnsi="Arial"/>
          <w:color w:val="2C2C2A"/>
          <w:sz w:val="22"/>
          <w:szCs w:val="22"/>
        </w:rPr>
        <w:t xml:space="preserve">The outcomes described above were not delivered in isolation. They were the product of 26 months of continuous stewardship: daily dashboard reviews, golden source enforcement, access governance, lineage documentation, and the steady accumulation of institutional knowledge about the data assets within the domain. Embedded stewardship compounds. The value it delivers is not linear but cumulative — each month of disciplined data management makes the next month's work more reliable, and the next programme's data foundation more solid.</w:t>
      </w:r>
    </w:p>
    <w:p>
      <w:pPr>
        <w:spacing w:before="80" w:after="80"/>
      </w:pPr>
      <w:r>
        <w:t xml:space="preserve"/>
      </w:r>
    </w:p>
    <w:p>
      <w:r>
        <w:br w:type="page"/>
      </w:r>
    </w:p>
    <w:p>
      <w:pPr>
        <w:pStyle w:val="Heading1"/>
        <w:spacing w:before="360" w:after="120"/>
      </w:pPr>
      <w:r>
        <w:rPr>
          <w:rFonts w:ascii="Arial" w:cs="Arial" w:eastAsia="Arial" w:hAnsi="Arial"/>
          <w:b/>
          <w:bCs/>
          <w:color w:val="1B4F8A"/>
          <w:sz w:val="32"/>
          <w:szCs w:val="32"/>
        </w:rPr>
        <w:t xml:space="preserve">9. Lessons Learned and Reflections</w:t>
      </w:r>
    </w:p>
    <w:p>
      <w:pPr>
        <w:pBdr>
          <w:bottom w:val="single" w:color="2E75B6" w:sz="4" w:space="1"/>
        </w:pBdr>
        <w:spacing w:before="160" w:after="160"/>
      </w:pPr>
      <w:r>
        <w:t xml:space="preserve"/>
      </w:r>
    </w:p>
    <w:p>
      <w:pPr>
        <w:spacing w:before="80" w:after="120" w:line="280"/>
      </w:pPr>
      <w:r>
        <w:rPr>
          <w:rFonts w:ascii="Arial" w:cs="Arial" w:eastAsia="Arial" w:hAnsi="Arial"/>
          <w:color w:val="2C2C2A"/>
          <w:sz w:val="22"/>
          <w:szCs w:val="22"/>
        </w:rPr>
        <w:t xml:space="preserve">A case study that only records successes is a marketing document, not a professional one. The reflections below are genuine: what worked, what was difficult, what I would approach differently, and what this engagement taught me about the discipline of data stewardship that I could not have learned any other way.</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What Worked Well</w:t>
      </w:r>
    </w:p>
    <w:p>
      <w:pPr>
        <w:spacing w:before="80" w:after="120" w:line="280"/>
      </w:pPr>
      <w:r>
        <w:rPr>
          <w:rFonts w:ascii="Arial" w:cs="Arial" w:eastAsia="Arial" w:hAnsi="Arial"/>
          <w:color w:val="2C2C2A"/>
          <w:sz w:val="22"/>
          <w:szCs w:val="22"/>
        </w:rPr>
        <w:t xml:space="preserve">The commercial banking background proved to be the single most practically useful asset in the role. Walking into a conversation with a relationship manager about an ambiguous corporate account, reviewing an overdraft facility classification, or explaining to a branch officer why a consent record needed to be updated was significantly easier because I had spent a year on the other side of those conversations. The business context was not incidental background knowledge. It was the thing that made the governance work credible to the people it depended on.</w:t>
      </w:r>
    </w:p>
    <w:p>
      <w:pPr>
        <w:spacing w:before="80" w:after="80"/>
      </w:pPr>
      <w:r>
        <w:t xml:space="preserve"/>
      </w:r>
    </w:p>
    <w:p>
      <w:pPr>
        <w:spacing w:before="80" w:after="120" w:line="280"/>
      </w:pPr>
      <w:r>
        <w:rPr>
          <w:rFonts w:ascii="Arial" w:cs="Arial" w:eastAsia="Arial" w:hAnsi="Arial"/>
          <w:color w:val="2C2C2A"/>
          <w:sz w:val="22"/>
          <w:szCs w:val="22"/>
        </w:rPr>
        <w:t xml:space="preserve">The predefined rule set for loan and overdraft classification was one of the better structural decisions of the migration workstream. By agreeing classification rules before the profiling work began, the team ensured that every account was assessed against the same criteria, regardless of who was doing the assessment or which batch they were working on. Consistency at scale requires rules, not judgement. Judgement introduces variation; rules introduce repeatability.</w:t>
      </w:r>
    </w:p>
    <w:p>
      <w:pPr>
        <w:spacing w:before="80" w:after="80"/>
      </w:pPr>
      <w:r>
        <w:t xml:space="preserve"/>
      </w:r>
    </w:p>
    <w:p>
      <w:pPr>
        <w:spacing w:before="80" w:after="120" w:line="280"/>
      </w:pPr>
      <w:r>
        <w:rPr>
          <w:rFonts w:ascii="Arial" w:cs="Arial" w:eastAsia="Arial" w:hAnsi="Arial"/>
          <w:color w:val="2C2C2A"/>
          <w:sz w:val="22"/>
          <w:szCs w:val="22"/>
        </w:rPr>
        <w:t xml:space="preserve">The escalation discipline around ambiguous CIF consolidations was handled correctly. When account data alone could not confirm whether two records belonged to the same customer, the correct approach — escalating first to the account manager, then to the AML and compliance desk where needed — was followed consistently. In a regulated environment, an incorrect consolidation is a potential compliance failure, not a minor data error.</w:t>
      </w:r>
    </w:p>
    <w:p>
      <w:pPr>
        <w:spacing w:before="80" w:after="80"/>
      </w:pPr>
      <w:r>
        <w:t xml:space="preserve"/>
      </w:r>
    </w:p>
    <w:p>
      <w:pPr>
        <w:spacing w:before="80" w:after="120" w:line="280"/>
      </w:pPr>
      <w:r>
        <w:rPr>
          <w:rFonts w:ascii="Arial" w:cs="Arial" w:eastAsia="Arial" w:hAnsi="Arial"/>
          <w:color w:val="2C2C2A"/>
          <w:sz w:val="22"/>
          <w:szCs w:val="22"/>
        </w:rPr>
        <w:t xml:space="preserve">The default treatment design for non-consenting customers in the opt-in programme was pragmatic and defensible. Rather than leaving the status of non-respondents undefined, the most privacy-preserving compliant option was applied from the outset — default email notification with a clear path to update preferences. This resolved a potential compliance gap before it became one.</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What Could Be Strengthened</w:t>
      </w:r>
    </w:p>
    <w:p>
      <w:pPr>
        <w:spacing w:before="80" w:after="120" w:line="280"/>
      </w:pPr>
      <w:r>
        <w:rPr>
          <w:rFonts w:ascii="Arial" w:cs="Arial" w:eastAsia="Arial" w:hAnsi="Arial"/>
          <w:color w:val="2C2C2A"/>
          <w:sz w:val="22"/>
          <w:szCs w:val="22"/>
        </w:rPr>
        <w:t xml:space="preserve">The post-migration monitoring framework was less structured than it could have been. Once the cutover batches were complete and the Basis platform was being decommissioned, the formal tracking of data quality in the live Finacle environment was not as systematised as the pre-migration profiling had been. A more deliberately designed post-migration monitoring period — with defined KPIs tracked against the baseline established during profiling — would have provided stronger evidence of whether the remediation work held in the new system over time. This is a gap I would close in a future migration engagement.</w:t>
      </w:r>
    </w:p>
    <w:p>
      <w:pPr>
        <w:spacing w:before="80" w:after="80"/>
      </w:pPr>
      <w:r>
        <w:t xml:space="preserve"/>
      </w:r>
    </w:p>
    <w:p>
      <w:pPr>
        <w:spacing w:before="80" w:after="120" w:line="280"/>
      </w:pPr>
      <w:r>
        <w:rPr>
          <w:rFonts w:ascii="Arial" w:cs="Arial" w:eastAsia="Arial" w:hAnsi="Arial"/>
          <w:color w:val="2C2C2A"/>
          <w:sz w:val="22"/>
          <w:szCs w:val="22"/>
        </w:rPr>
        <w:t xml:space="preserve">Earlier engagement with account managers on the CIF consolidation workstream would have reduced the volume of escalations. Many of the ambiguous cases could have been pre-empted by a brief consultation before the matching work began. Account managers held institutional knowledge about their customer portfolios that was not captured in the data — relationships between entities, family structures, business name changes, and informal account histories. Accessing that knowledge earlier would have made the profiling exercise faster and more accurate.</w:t>
      </w:r>
    </w:p>
    <w:p>
      <w:pPr>
        <w:spacing w:before="80" w:after="80"/>
      </w:pPr>
      <w:r>
        <w:t xml:space="preserve"/>
      </w:r>
    </w:p>
    <w:p>
      <w:pPr>
        <w:spacing w:before="80" w:after="120" w:line="280"/>
      </w:pPr>
      <w:r>
        <w:rPr>
          <w:rFonts w:ascii="Arial" w:cs="Arial" w:eastAsia="Arial" w:hAnsi="Arial"/>
          <w:color w:val="2C2C2A"/>
          <w:sz w:val="22"/>
          <w:szCs w:val="22"/>
        </w:rPr>
        <w:t xml:space="preserve">The training and communication component of the consent programme was effective in achieving headline compliance but was not formally evaluated for behavioural change. Knowing that 90% of customers were reached is a good output measure. Knowing whether branch officers understood why the consent requirement existed — and could explain it accurately to customers — is a different and arguably more important measure. A short post-programme assessment would have provided that evidence and strengthened the case for long-term sustainability.</w:t>
      </w:r>
    </w:p>
    <w:p>
      <w:pPr>
        <w:spacing w:before="80" w:after="80"/>
      </w:pPr>
      <w:r>
        <w:t xml:space="preserve"/>
      </w:r>
    </w:p>
    <w:p>
      <w:pPr>
        <w:pStyle w:val="Heading2"/>
        <w:spacing w:before="280" w:after="100"/>
      </w:pPr>
      <w:r>
        <w:rPr>
          <w:rFonts w:ascii="Arial" w:cs="Arial" w:eastAsia="Arial" w:hAnsi="Arial"/>
          <w:b/>
          <w:bCs/>
          <w:color w:val="1B4F8A"/>
          <w:sz w:val="26"/>
          <w:szCs w:val="26"/>
        </w:rPr>
        <w:t xml:space="preserve">The Broader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r>
              <w:rPr>
                <w:sz w:val="22"/>
                <w:szCs w:val="22"/>
              </w:rPr>
              <w:t xml:space="preserve"/>
            </w:r>
          </w:p>
        </w:tc>
        <w:tc>
          <w:tcPr>
            <w:tcW w:type="dxa" w:w="9120"/>
            <w:tcBorders>
              <w:top w:val="none" w:color="FFFFFF" w:sz="0"/>
              <w:left w:val="none" w:color="FFFFFF" w:sz="0"/>
              <w:bottom w:val="none" w:color="FFFFFF" w:sz="0"/>
              <w:right w:val="none" w:color="FFFFFF" w:sz="0"/>
            </w:tcBorders>
            <w:shd w:fill="E8F0F8" w:val="clear"/>
            <w:tcMar>
              <w:top w:type="dxa" w:w="160"/>
              <w:left w:type="dxa" w:w="200"/>
              <w:bottom w:type="dxa" w:w="160"/>
              <w:right w:type="dxa" w:w="200"/>
            </w:tcMar>
          </w:tcPr>
          <w:p>
            <w:r>
              <w:rPr>
                <w:rFonts w:ascii="Arial" w:cs="Arial" w:eastAsia="Arial" w:hAnsi="Arial"/>
                <w:i/>
                <w:iCs/>
                <w:color w:val="1B3A5C"/>
                <w:sz w:val="21"/>
                <w:szCs w:val="21"/>
              </w:rPr>
              <w:t xml:space="preserve">Twenty-six months of embedded stewardship at a tier-one bank taught me that the value of good data governance is not visible in a single deliverable. It accumulates quietly, over time, in the quality of decisions made on clean data, in the compliance gaps that never become incidents, and in the migration programmes that go smoothly because the data foundation was solid going in. Data stewardship is fundamentally a people discipline. The technical tools are the instruments. The work that actually moves the needle is the conversation — with the relationship manager who does not see why their account classification matters, with the branch officer entering data in a format that will break downstream, with the compliance supervisor who needs to understand what the data is telling them before they can act on it. The steward's job is to bridge those gaps. That bridging function is what I brought to GTCO, and it is what I carry forward.</w:t>
            </w:r>
          </w:p>
        </w:tc>
      </w:tr>
    </w:tbl>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8"/>
        <w:szCs w:val="18"/>
      </w:rPr>
      <w:t xml:space="preserve">GTCO Plc Case Study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B4F8A"/>
        <w:sz w:val="20"/>
        <w:szCs w:val="20"/>
      </w:rPr>
      <w:t xml:space="preserve">Calvin Enobor</w:t>
    </w:r>
    <w:r>
      <w:rPr>
        <w:rFonts w:ascii="Arial" w:cs="Arial" w:eastAsia="Arial" w:hAnsi="Arial"/>
        <w:color w:val="888888"/>
        <w:sz w:val="20"/>
        <w:szCs w:val="20"/>
      </w:rPr>
      <w:t xml:space="preserve">   |   Data Quality &amp; Governance Specialist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8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2026-03-20T20:15:58.049Z</dcterms:created>
  <dcterms:modified xsi:type="dcterms:W3CDTF">2026-03-20T20:15:58.050Z</dcterms:modified>
</cp:coreProperties>
</file>

<file path=docProps/custom.xml><?xml version="1.0" encoding="utf-8"?>
<Properties xmlns="http://schemas.openxmlformats.org/officeDocument/2006/custom-properties" xmlns:vt="http://schemas.openxmlformats.org/officeDocument/2006/docPropsVTypes"/>
</file>