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aps/>
          <w:color w:val="2E75B6"/>
          <w:sz w:val="20"/>
          <w:szCs w:val="20"/>
        </w:rPr>
        <w:t xml:space="preserve">PORTFOLIO CASE STUDY</w:t>
      </w:r>
    </w:p>
    <w:p>
      <w:pPr>
        <w:spacing w:before="0" w:after="200"/>
        <w:jc w:val="center"/>
      </w:pPr>
      <w:r>
        <w:rPr>
          <w:rFonts w:ascii="Arial" w:cs="Arial" w:eastAsia="Arial" w:hAnsi="Arial"/>
          <w:b/>
          <w:bCs/>
          <w:color w:val="1B4F8A"/>
          <w:sz w:val="40"/>
          <w:szCs w:val="40"/>
        </w:rPr>
        <w:t xml:space="preserve">Subscriber Data Integrity in an M&amp;A Context</w:t>
      </w:r>
    </w:p>
    <w:p>
      <w:pPr>
        <w:spacing w:before="0" w:after="400"/>
        <w:jc w:val="center"/>
      </w:pPr>
      <w:r>
        <w:rPr>
          <w:rFonts w:ascii="Arial" w:cs="Arial" w:eastAsia="Arial" w:hAnsi="Arial"/>
          <w:i/>
          <w:iCs/>
          <w:color w:val="555555"/>
          <w:sz w:val="24"/>
          <w:szCs w:val="24"/>
        </w:rPr>
        <w:t xml:space="preserve">A Full-Lifecycle Data Quality Audit for a Nigerian Telecoms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Industry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Telecommunications — Nigeria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Engagement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Data Quality Engagement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Engagement 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2025</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Scope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~21.8 Million Subscriber Records (gross)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Personal Load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Million Records Analysed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Tools Used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 Python · Power BI · Informatica · Collibra · Excel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Duration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+ 30-Day Post-Implementation Monitoring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B4F8A" w:val="clear"/>
            <w:tcMar>
              <w:top w:type="dxa" w:w="160"/>
              <w:left w:type="dxa" w:w="100"/>
              <w:bottom w:type="dxa" w:w="160"/>
              <w:right w:type="dxa" w:w="100"/>
            </w:tcMar>
            <w:vAlign w:val="center"/>
          </w:tcPr>
          <w:p>
            <w:pPr>
              <w:jc w:val="center"/>
            </w:pPr>
            <w:r>
              <w:rPr>
                <w:rFonts w:ascii="Arial" w:cs="Arial" w:eastAsia="Arial" w:hAnsi="Arial"/>
                <w:b/>
                <w:bCs/>
                <w:color w:val="FFFFFF"/>
                <w:sz w:val="32"/>
                <w:szCs w:val="32"/>
              </w:rPr>
              <w:t xml:space="preserve">~21.8M</w:t>
            </w:r>
          </w:p>
          <w:p>
            <w:pPr>
              <w:jc w:val="center"/>
            </w:pPr>
            <w:r>
              <w:rPr>
                <w:rFonts w:ascii="Arial" w:cs="Arial" w:eastAsia="Arial" w:hAnsi="Arial"/>
                <w:color w:val="B8D4F0"/>
                <w:sz w:val="16"/>
                <w:szCs w:val="16"/>
              </w:rPr>
              <w:t xml:space="preserve">Gross subscriber records</w:t>
            </w:r>
          </w:p>
        </w:tc>
        <w:tc>
          <w:tcPr>
            <w:tcW w:type="dxa" w:w="2340"/>
            <w:tcBorders>
              <w:top w:val="none" w:color="FFFFFF" w:sz="0"/>
              <w:left w:val="none" w:color="FFFFFF" w:sz="0"/>
              <w:bottom w:val="none" w:color="FFFFFF" w:sz="0"/>
              <w:right w:val="none" w:color="FFFFFF" w:sz="0"/>
            </w:tcBorders>
            <w:shd w:fill="1B4F8A" w:val="clear"/>
            <w:tcMar>
              <w:top w:type="dxa" w:w="160"/>
              <w:left w:type="dxa" w:w="100"/>
              <w:bottom w:type="dxa" w:w="160"/>
              <w:right w:type="dxa" w:w="100"/>
            </w:tcMar>
            <w:vAlign w:val="center"/>
          </w:tcPr>
          <w:p>
            <w:pPr>
              <w:jc w:val="center"/>
            </w:pPr>
            <w:r>
              <w:rPr>
                <w:rFonts w:ascii="Arial" w:cs="Arial" w:eastAsia="Arial" w:hAnsi="Arial"/>
                <w:b/>
                <w:bCs/>
                <w:color w:val="FFFFFF"/>
                <w:sz w:val="32"/>
                <w:szCs w:val="32"/>
              </w:rPr>
              <w:t xml:space="preserve">1.8M</w:t>
            </w:r>
          </w:p>
          <w:p>
            <w:pPr>
              <w:jc w:val="center"/>
            </w:pPr>
            <w:r>
              <w:rPr>
                <w:rFonts w:ascii="Arial" w:cs="Arial" w:eastAsia="Arial" w:hAnsi="Arial"/>
                <w:color w:val="B8D4F0"/>
                <w:sz w:val="16"/>
                <w:szCs w:val="16"/>
              </w:rPr>
              <w:t xml:space="preserve">Duplicates identified</w:t>
            </w:r>
          </w:p>
        </w:tc>
        <w:tc>
          <w:tcPr>
            <w:tcW w:type="dxa" w:w="2340"/>
            <w:tcBorders>
              <w:top w:val="none" w:color="FFFFFF" w:sz="0"/>
              <w:left w:val="none" w:color="FFFFFF" w:sz="0"/>
              <w:bottom w:val="none" w:color="FFFFFF" w:sz="0"/>
              <w:right w:val="none" w:color="FFFFFF" w:sz="0"/>
            </w:tcBorders>
            <w:shd w:fill="1B4F8A" w:val="clear"/>
            <w:tcMar>
              <w:top w:type="dxa" w:w="160"/>
              <w:left w:type="dxa" w:w="100"/>
              <w:bottom w:type="dxa" w:w="160"/>
              <w:right w:type="dxa" w:w="100"/>
            </w:tcMar>
            <w:vAlign w:val="center"/>
          </w:tcPr>
          <w:p>
            <w:pPr>
              <w:jc w:val="center"/>
            </w:pPr>
            <w:r>
              <w:rPr>
                <w:rFonts w:ascii="Arial" w:cs="Arial" w:eastAsia="Arial" w:hAnsi="Arial"/>
                <w:b/>
                <w:bCs/>
                <w:color w:val="FFFFFF"/>
                <w:sz w:val="32"/>
                <w:szCs w:val="32"/>
              </w:rPr>
              <w:t xml:space="preserve">~4M</w:t>
            </w:r>
          </w:p>
          <w:p>
            <w:pPr>
              <w:jc w:val="center"/>
            </w:pPr>
            <w:r>
              <w:rPr>
                <w:rFonts w:ascii="Arial" w:cs="Arial" w:eastAsia="Arial" w:hAnsi="Arial"/>
                <w:color w:val="B8D4F0"/>
                <w:sz w:val="16"/>
                <w:szCs w:val="16"/>
              </w:rPr>
              <w:t xml:space="preserve">Inactive subscribers</w:t>
            </w:r>
          </w:p>
        </w:tc>
        <w:tc>
          <w:tcPr>
            <w:tcW w:type="dxa" w:w="2340"/>
            <w:tcBorders>
              <w:top w:val="none" w:color="FFFFFF" w:sz="0"/>
              <w:left w:val="none" w:color="FFFFFF" w:sz="0"/>
              <w:bottom w:val="none" w:color="FFFFFF" w:sz="0"/>
              <w:right w:val="none" w:color="FFFFFF" w:sz="0"/>
            </w:tcBorders>
            <w:shd w:fill="1B4F8A" w:val="clear"/>
            <w:tcMar>
              <w:top w:type="dxa" w:w="160"/>
              <w:left w:type="dxa" w:w="100"/>
              <w:bottom w:type="dxa" w:w="160"/>
              <w:right w:type="dxa" w:w="100"/>
            </w:tcMar>
            <w:vAlign w:val="center"/>
          </w:tcPr>
          <w:p>
            <w:pPr>
              <w:jc w:val="center"/>
            </w:pPr>
            <w:r>
              <w:rPr>
                <w:rFonts w:ascii="Arial" w:cs="Arial" w:eastAsia="Arial" w:hAnsi="Arial"/>
                <w:b/>
                <w:bCs/>
                <w:color w:val="FFFFFF"/>
                <w:sz w:val="32"/>
                <w:szCs w:val="32"/>
              </w:rPr>
              <w:t xml:space="preserve">600+</w:t>
            </w:r>
          </w:p>
          <w:p>
            <w:pPr>
              <w:jc w:val="center"/>
            </w:pPr>
            <w:r>
              <w:rPr>
                <w:rFonts w:ascii="Arial" w:cs="Arial" w:eastAsia="Arial" w:hAnsi="Arial"/>
                <w:color w:val="B8D4F0"/>
                <w:sz w:val="16"/>
                <w:szCs w:val="16"/>
              </w:rPr>
              <w:t xml:space="preserve">CRM misclassifications</w:t>
            </w:r>
          </w:p>
        </w:tc>
      </w:tr>
    </w:tbl>
    <w:p>
      <w:pPr>
        <w:spacing w:before="80" w:after="80"/>
      </w:pPr>
      <w:r>
        <w:t xml:space="preserve"/>
      </w:r>
    </w:p>
    <w:p>
      <w:r>
        <w:br w:type="page"/>
      </w:r>
    </w:p>
    <w:p>
      <w:pPr>
        <w:pStyle w:val="Heading1"/>
        <w:spacing w:before="360" w:after="120"/>
      </w:pPr>
      <w:r>
        <w:rPr>
          <w:rFonts w:ascii="Arial" w:cs="Arial" w:eastAsia="Arial" w:hAnsi="Arial"/>
          <w:b/>
          <w:bCs/>
          <w:color w:val="1B4F8A"/>
          <w:sz w:val="32"/>
          <w:szCs w:val="32"/>
        </w:rPr>
        <w:t xml:space="preserve">1. Executive Summary</w:t>
      </w:r>
    </w:p>
    <w:p>
      <w:pPr>
        <w:pBdr>
          <w:bottom w:val="single" w:color="2E75B6" w:sz="4" w:space="1"/>
        </w:pBdr>
        <w:spacing w:before="160" w:after="160"/>
      </w:pPr>
      <w:r>
        <w:t xml:space="preserve"/>
      </w:r>
    </w:p>
    <w:p>
      <w:pPr>
        <w:spacing w:before="80" w:after="120" w:line="280"/>
      </w:pPr>
      <w:r>
        <w:rPr>
          <w:rFonts w:ascii="Arial" w:cs="Arial" w:eastAsia="Arial" w:hAnsi="Arial"/>
          <w:color w:val="2C2C2A"/>
          <w:sz w:val="22"/>
          <w:szCs w:val="22"/>
        </w:rPr>
        <w:t xml:space="preserve">This case study documents a contract data quality engagement conducted for a Nigerian telecommunications operator undergoing an ownership transition in March 2025. As part of a six-person data quality team, I was personally responsible for profiling, cleansing, and analysing over four million subscriber records — contributing to an organisation-wide audit spanning approximately 21.8 million gross subscriber records.</w:t>
      </w:r>
    </w:p>
    <w:p>
      <w:pPr>
        <w:spacing w:before="80" w:after="80"/>
      </w:pPr>
      <w:r>
        <w:t xml:space="preserve"/>
      </w:r>
    </w:p>
    <w:p>
      <w:pPr>
        <w:spacing w:before="80" w:after="120" w:line="280"/>
      </w:pPr>
      <w:r>
        <w:rPr>
          <w:rFonts w:ascii="Arial" w:cs="Arial" w:eastAsia="Arial" w:hAnsi="Arial"/>
          <w:color w:val="2C2C2A"/>
          <w:sz w:val="22"/>
          <w:szCs w:val="22"/>
        </w:rPr>
        <w:t xml:space="preserve">The reported subscriber base of approximately 20 million was the post-deduplication figure on record at the point of engagement. Duplicate detection identified 1.8 million confirmed duplicate accounts within that total, meaning the gross record count including duplicates stood at approximately 21.8 million. From the 20 million post-deduplication base, approximately four million subscribers were classified as inactive under the agreed 180-day activity threshold. This methodology produced a true active, non-duplicate base of approximately 14.2 million — a 29% reduction from the reported figure that had direct and material consequences for the acquisition valuation.</w:t>
      </w:r>
    </w:p>
    <w:p>
      <w:pPr>
        <w:spacing w:before="80" w:after="80"/>
      </w:pPr>
      <w:r>
        <w:t xml:space="preserve"/>
      </w:r>
    </w:p>
    <w:p>
      <w:pPr>
        <w:spacing w:before="80" w:after="120" w:line="280"/>
      </w:pPr>
      <w:r>
        <w:rPr>
          <w:rFonts w:ascii="Arial" w:cs="Arial" w:eastAsia="Arial" w:hAnsi="Arial"/>
          <w:color w:val="2C2C2A"/>
          <w:sz w:val="22"/>
          <w:szCs w:val="22"/>
        </w:rPr>
        <w:t xml:space="preserve">The engagement identified 1.8 million duplicate subscriber accounts and approximately four million inactive subscribers. These findings directly informed the acquisition valuation and exposed a significant credit recovery risk arising from an undercollateralised student loan scheme that had been launched on an incomplete data foundation. The total student loan book stood at approximately ₦23.5 million naira. Following the KYC remediation work carried out during the engagement, collection rates on the outstanding book improved from 9% in the prior year to 30% — a 21 percentage point improvement attributable directly to the data quality work.</w:t>
      </w:r>
    </w:p>
    <w:p>
      <w:pPr>
        <w:spacing w:before="80" w:after="80"/>
      </w:pPr>
      <w:r>
        <w:t xml:space="preserve"/>
      </w:r>
    </w:p>
    <w:p>
      <w:pPr>
        <w:spacing w:before="80" w:after="120" w:line="280"/>
      </w:pPr>
      <w:r>
        <w:rPr>
          <w:rFonts w:ascii="Arial" w:cs="Arial" w:eastAsia="Arial" w:hAnsi="Arial"/>
          <w:color w:val="2C2C2A"/>
          <w:sz w:val="22"/>
          <w:szCs w:val="22"/>
        </w:rPr>
        <w:t xml:space="preserve">Beyond the audit itself, the team designed and delivered a customer data lifecycle framework, a revised KYC onboarding standard aligned to NCC regulatory requirements, and an enterprise-wide data stewardship programme — including in-house training for operational and management staff. I contributed directly to the design and development of the training programme content, including the KYC implementation guidance and data stewardship awareness materials. A 30-day post-implementation monitoring period was conducted to validate framework adoption and measure early improvement.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B4F8A" w:val="clear"/>
            <w:tcMar>
              <w:top w:type="dxa" w:w="160"/>
              <w:left w:type="dxa" w:w="100"/>
              <w:bottom w:type="dxa" w:w="160"/>
              <w:right w:type="dxa" w:w="100"/>
            </w:tcMar>
            <w:vAlign w:val="center"/>
          </w:tcPr>
          <w:p>
            <w:pPr>
              <w:jc w:val="center"/>
            </w:pPr>
            <w:r>
              <w:rPr>
                <w:rFonts w:ascii="Arial" w:cs="Arial" w:eastAsia="Arial" w:hAnsi="Arial"/>
                <w:b/>
                <w:bCs/>
                <w:color w:val="FFFFFF"/>
                <w:sz w:val="32"/>
                <w:szCs w:val="32"/>
              </w:rPr>
              <w:t xml:space="preserve">~14.2M</w:t>
            </w:r>
          </w:p>
          <w:p>
            <w:pPr>
              <w:jc w:val="center"/>
            </w:pPr>
            <w:r>
              <w:rPr>
                <w:rFonts w:ascii="Arial" w:cs="Arial" w:eastAsia="Arial" w:hAnsi="Arial"/>
                <w:color w:val="B8D4F0"/>
                <w:sz w:val="16"/>
                <w:szCs w:val="16"/>
              </w:rPr>
              <w:t xml:space="preserve">True active base</w:t>
            </w:r>
          </w:p>
        </w:tc>
        <w:tc>
          <w:tcPr>
            <w:tcW w:type="dxa" w:w="2340"/>
            <w:tcBorders>
              <w:top w:val="none" w:color="FFFFFF" w:sz="0"/>
              <w:left w:val="none" w:color="FFFFFF" w:sz="0"/>
              <w:bottom w:val="none" w:color="FFFFFF" w:sz="0"/>
              <w:right w:val="none" w:color="FFFFFF" w:sz="0"/>
            </w:tcBorders>
            <w:shd w:fill="1B4F8A" w:val="clear"/>
            <w:tcMar>
              <w:top w:type="dxa" w:w="160"/>
              <w:left w:type="dxa" w:w="100"/>
              <w:bottom w:type="dxa" w:w="160"/>
              <w:right w:type="dxa" w:w="100"/>
            </w:tcMar>
            <w:vAlign w:val="center"/>
          </w:tcPr>
          <w:p>
            <w:pPr>
              <w:jc w:val="center"/>
            </w:pPr>
            <w:r>
              <w:rPr>
                <w:rFonts w:ascii="Arial" w:cs="Arial" w:eastAsia="Arial" w:hAnsi="Arial"/>
                <w:b/>
                <w:bCs/>
                <w:color w:val="FFFFFF"/>
                <w:sz w:val="32"/>
                <w:szCs w:val="32"/>
              </w:rPr>
              <w:t xml:space="preserve">1.8M</w:t>
            </w:r>
          </w:p>
          <w:p>
            <w:pPr>
              <w:jc w:val="center"/>
            </w:pPr>
            <w:r>
              <w:rPr>
                <w:rFonts w:ascii="Arial" w:cs="Arial" w:eastAsia="Arial" w:hAnsi="Arial"/>
                <w:color w:val="B8D4F0"/>
                <w:sz w:val="16"/>
                <w:szCs w:val="16"/>
              </w:rPr>
              <w:t xml:space="preserve">Duplicates confirmed</w:t>
            </w:r>
          </w:p>
        </w:tc>
        <w:tc>
          <w:tcPr>
            <w:tcW w:type="dxa" w:w="2340"/>
            <w:tcBorders>
              <w:top w:val="none" w:color="FFFFFF" w:sz="0"/>
              <w:left w:val="none" w:color="FFFFFF" w:sz="0"/>
              <w:bottom w:val="none" w:color="FFFFFF" w:sz="0"/>
              <w:right w:val="none" w:color="FFFFFF" w:sz="0"/>
            </w:tcBorders>
            <w:shd w:fill="1B4F8A" w:val="clear"/>
            <w:tcMar>
              <w:top w:type="dxa" w:w="160"/>
              <w:left w:type="dxa" w:w="100"/>
              <w:bottom w:type="dxa" w:w="160"/>
              <w:right w:type="dxa" w:w="100"/>
            </w:tcMar>
            <w:vAlign w:val="center"/>
          </w:tcPr>
          <w:p>
            <w:pPr>
              <w:jc w:val="center"/>
            </w:pPr>
            <w:r>
              <w:rPr>
                <w:rFonts w:ascii="Arial" w:cs="Arial" w:eastAsia="Arial" w:hAnsi="Arial"/>
                <w:b/>
                <w:bCs/>
                <w:color w:val="FFFFFF"/>
                <w:sz w:val="32"/>
                <w:szCs w:val="32"/>
              </w:rPr>
              <w:t xml:space="preserve">9% to 30%</w:t>
            </w:r>
          </w:p>
          <w:p>
            <w:pPr>
              <w:jc w:val="center"/>
            </w:pPr>
            <w:r>
              <w:rPr>
                <w:rFonts w:ascii="Arial" w:cs="Arial" w:eastAsia="Arial" w:hAnsi="Arial"/>
                <w:color w:val="B8D4F0"/>
                <w:sz w:val="16"/>
                <w:szCs w:val="16"/>
              </w:rPr>
              <w:t xml:space="preserve">Collection improvement</w:t>
            </w:r>
          </w:p>
        </w:tc>
        <w:tc>
          <w:tcPr>
            <w:tcW w:type="dxa" w:w="2340"/>
            <w:tcBorders>
              <w:top w:val="none" w:color="FFFFFF" w:sz="0"/>
              <w:left w:val="none" w:color="FFFFFF" w:sz="0"/>
              <w:bottom w:val="none" w:color="FFFFFF" w:sz="0"/>
              <w:right w:val="none" w:color="FFFFFF" w:sz="0"/>
            </w:tcBorders>
            <w:shd w:fill="1B4F8A" w:val="clear"/>
            <w:tcMar>
              <w:top w:type="dxa" w:w="160"/>
              <w:left w:type="dxa" w:w="100"/>
              <w:bottom w:type="dxa" w:w="160"/>
              <w:right w:type="dxa" w:w="100"/>
            </w:tcMar>
            <w:vAlign w:val="center"/>
          </w:tcPr>
          <w:p>
            <w:pPr>
              <w:jc w:val="center"/>
            </w:pPr>
            <w:r>
              <w:rPr>
                <w:rFonts w:ascii="Arial" w:cs="Arial" w:eastAsia="Arial" w:hAnsi="Arial"/>
                <w:b/>
                <w:bCs/>
                <w:color w:val="FFFFFF"/>
                <w:sz w:val="32"/>
                <w:szCs w:val="32"/>
              </w:rPr>
              <w:t xml:space="preserve">600+</w:t>
            </w:r>
          </w:p>
          <w:p>
            <w:pPr>
              <w:jc w:val="center"/>
            </w:pPr>
            <w:r>
              <w:rPr>
                <w:rFonts w:ascii="Arial" w:cs="Arial" w:eastAsia="Arial" w:hAnsi="Arial"/>
                <w:color w:val="B8D4F0"/>
                <w:sz w:val="16"/>
                <w:szCs w:val="16"/>
              </w:rPr>
              <w:t xml:space="preserve">CRM fixes</w:t>
            </w:r>
          </w:p>
        </w:tc>
      </w:tr>
    </w:tbl>
    <w:p>
      <w:pPr>
        <w:spacing w:before="80" w:after="80"/>
      </w:pPr>
      <w:r>
        <w:t xml:space="preserve"/>
      </w:r>
    </w:p>
    <w:p>
      <w:r>
        <w:br w:type="page"/>
      </w:r>
    </w:p>
    <w:p>
      <w:pPr>
        <w:pStyle w:val="Heading1"/>
        <w:spacing w:before="360" w:after="120"/>
      </w:pPr>
      <w:r>
        <w:rPr>
          <w:rFonts w:ascii="Arial" w:cs="Arial" w:eastAsia="Arial" w:hAnsi="Arial"/>
          <w:b/>
          <w:bCs/>
          <w:color w:val="1B4F8A"/>
          <w:sz w:val="32"/>
          <w:szCs w:val="32"/>
        </w:rPr>
        <w:t xml:space="preserve">2. Business Context</w:t>
      </w:r>
    </w:p>
    <w:p>
      <w:pPr>
        <w:pBdr>
          <w:bottom w:val="single" w:color="2E75B6" w:sz="4" w:space="1"/>
        </w:pBdr>
        <w:spacing w:before="160" w:after="160"/>
      </w:pPr>
      <w:r>
        <w:t xml:space="preserve"/>
      </w:r>
    </w:p>
    <w:p>
      <w:pPr>
        <w:spacing w:before="80" w:after="120" w:line="280"/>
      </w:pPr>
      <w:r>
        <w:rPr>
          <w:rFonts w:ascii="Arial" w:cs="Arial" w:eastAsia="Arial" w:hAnsi="Arial"/>
          <w:color w:val="2C2C2A"/>
          <w:sz w:val="22"/>
          <w:szCs w:val="22"/>
        </w:rPr>
        <w:t xml:space="preserve">The client was a mid-scale Nigerian mobile network operator with an approximate subscriber base of 20 million, positioning it as the third-largest operator in one of Africa's most competitive telecoms markets. The Nigerian telecoms sector is characterised by high subscriber volumes, aggressive agent-led field onboarding, and a regulatory environment governed by the Nigerian Communications Commission (NCC).</w:t>
      </w:r>
    </w:p>
    <w:p>
      <w:pPr>
        <w:spacing w:before="80" w:after="80"/>
      </w:pPr>
      <w:r>
        <w:t xml:space="preserve"/>
      </w:r>
    </w:p>
    <w:p>
      <w:pPr>
        <w:spacing w:before="80" w:after="120" w:line="280"/>
      </w:pPr>
      <w:r>
        <w:rPr>
          <w:rFonts w:ascii="Arial" w:cs="Arial" w:eastAsia="Arial" w:hAnsi="Arial"/>
          <w:color w:val="2C2C2A"/>
          <w:sz w:val="22"/>
          <w:szCs w:val="22"/>
        </w:rPr>
        <w:t xml:space="preserve">At the time of engagement, Nigeria's total mobile subscriptions stood at approximately 171.6 million across the market, with the industry dominated by two major operators. The client held approximately 14% of the total subscriber market — a commercially significant position, but one in which subscriber base integrity was essential to sustaining market credibility and attracting investment.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Subscribers</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Market Share</w:t>
            </w:r>
          </w:p>
        </w:tc>
        <w:tc>
          <w:tcPr>
            <w:tcW w:type="dxa" w:w="2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Position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MTN Nigeria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89.6 million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Airtel Nigeria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58.0 million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33.9%</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Operator (anonymised)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million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Others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~4.0 million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~1.6%</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4th+</w:t>
            </w:r>
          </w:p>
        </w:tc>
      </w:tr>
    </w:tbl>
    <w:p>
      <w:pPr>
        <w:spacing w:before="80" w:after="80"/>
      </w:pPr>
      <w:r>
        <w:t xml:space="preserve"/>
      </w:r>
    </w:p>
    <w:p>
      <w:pPr>
        <w:spacing w:before="80" w:after="120" w:line="280"/>
      </w:pPr>
      <w:r>
        <w:rPr>
          <w:rFonts w:ascii="Arial" w:cs="Arial" w:eastAsia="Arial" w:hAnsi="Arial"/>
          <w:color w:val="2C2C2A"/>
          <w:sz w:val="22"/>
          <w:szCs w:val="22"/>
        </w:rPr>
        <w:t xml:space="preserve">Source: NCC market data, 2023. Client identity anonymised for portfolio purposes.</w:t>
      </w:r>
    </w:p>
    <w:p>
      <w:pPr>
        <w:spacing w:before="80" w:after="80"/>
      </w:pPr>
      <w:r>
        <w:t xml:space="preserve"/>
      </w:r>
    </w:p>
    <w:p>
      <w:pPr>
        <w:spacing w:before="80" w:after="120" w:line="280"/>
      </w:pPr>
      <w:r>
        <w:rPr>
          <w:rFonts w:ascii="Arial" w:cs="Arial" w:eastAsia="Arial" w:hAnsi="Arial"/>
          <w:color w:val="2C2C2A"/>
          <w:sz w:val="22"/>
          <w:szCs w:val="22"/>
        </w:rPr>
        <w:t xml:space="preserve">At the time of engagement, the operator was undergoing an ownership transition — its second acquisition in recent years. The incoming ownership required an independent, evidence-based assessment of the business's operational and data health as a core component of due diligence. In telecoms, the subscriber base is the primary commercial asset; its size, quality, and revenue-generating potential are directly tied to business valuation.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tcPr>
          <w:p>
            <w:r>
              <w:rPr>
                <w:sz w:val="22"/>
                <w:szCs w:val="22"/>
              </w:rPr>
              <w:t xml:space="preserve"/>
            </w:r>
          </w:p>
        </w:tc>
        <w:tc>
          <w:tcPr>
            <w:tcW w:type="dxa" w:w="912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r>
              <w:rPr>
                <w:rFonts w:ascii="Arial" w:cs="Arial" w:eastAsia="Arial" w:hAnsi="Arial"/>
                <w:i/>
                <w:iCs/>
                <w:color w:val="1B3A5C"/>
                <w:sz w:val="21"/>
                <w:szCs w:val="21"/>
              </w:rPr>
              <w:t xml:space="preserve">An M&amp;A due diligence setting is one of the highest-stakes environments for a data quality engagement. Findings do not merely inform operational improvements — they directly influence company valuation, deal structure, and investor confidence. The work conducted in this engagement had board-level commercial consequences.</w:t>
            </w:r>
          </w:p>
        </w:tc>
      </w:tr>
    </w:tbl>
    <w:p>
      <w:pPr>
        <w:spacing w:before="80" w:after="80"/>
      </w:pPr>
      <w:r>
        <w:t xml:space="preserve"/>
      </w:r>
    </w:p>
    <w:p>
      <w:r>
        <w:br w:type="page"/>
      </w:r>
    </w:p>
    <w:p>
      <w:pPr>
        <w:pStyle w:val="Heading1"/>
        <w:spacing w:before="360" w:after="120"/>
      </w:pPr>
      <w:r>
        <w:rPr>
          <w:rFonts w:ascii="Arial" w:cs="Arial" w:eastAsia="Arial" w:hAnsi="Arial"/>
          <w:b/>
          <w:bCs/>
          <w:color w:val="1B4F8A"/>
          <w:sz w:val="32"/>
          <w:szCs w:val="32"/>
        </w:rPr>
        <w:t xml:space="preserve">3. Engagement Scope</w:t>
      </w:r>
    </w:p>
    <w:p>
      <w:pPr>
        <w:pBdr>
          <w:bottom w:val="single" w:color="2E75B6" w:sz="4" w:space="1"/>
        </w:pBdr>
        <w:spacing w:before="160" w:after="160"/>
      </w:pPr>
      <w:r>
        <w:t xml:space="preserve"/>
      </w:r>
    </w:p>
    <w:p>
      <w:pPr>
        <w:spacing w:before="80" w:after="120" w:line="280"/>
      </w:pPr>
      <w:r>
        <w:rPr>
          <w:rFonts w:ascii="Arial" w:cs="Arial" w:eastAsia="Arial" w:hAnsi="Arial"/>
          <w:color w:val="2C2C2A"/>
          <w:sz w:val="22"/>
          <w:szCs w:val="22"/>
        </w:rPr>
        <w:t xml:space="preserve">The engagement covered six interconnected data domains, each selected because of its direct relevance to subscriber base valuation, regulatory compliance, and operational health.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Data Domain</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Scope Description</w:t>
            </w:r>
          </w:p>
        </w:tc>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Primary DQ Dimension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Subscriber Base Integrity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subscriber count; classification of active vs. inactive based on defined business rules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Completeness, Timeliness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Duplicate Detection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Identification of multiple accounts linked to the same PII (name, address, NIN, contact number)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Uniqueness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KYC Compliance Audit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Assessment of KYC records against NCC regulatory standards; identification of gaps and non-compliant records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Validity, Completeness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CRM Profiling Accuracy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Validation of enterprise vs. individual customer classification; identification of billing anomalies from misclassification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Accuracy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Risk (Arrears)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Identification of subscribers with outstanding balances; assessment of recoverability, including the student credit scheme exposure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Accuracy, Completeness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Geographic Distribution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Regional spread of active subscriber base to identify operational concentration and coverage profile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Consistency</w:t>
            </w:r>
          </w:p>
        </w:tc>
      </w:tr>
    </w:tbl>
    <w:p>
      <w:pPr>
        <w:spacing w:before="80" w:after="80"/>
      </w:pPr>
      <w:r>
        <w:t xml:space="preserve"/>
      </w:r>
    </w:p>
    <w:p>
      <w:pPr>
        <w:pStyle w:val="Heading2"/>
        <w:spacing w:before="280" w:after="100"/>
      </w:pPr>
      <w:r>
        <w:rPr>
          <w:rFonts w:ascii="Arial" w:cs="Arial" w:eastAsia="Arial" w:hAnsi="Arial"/>
          <w:b/>
          <w:bCs/>
          <w:color w:val="1B4F8A"/>
          <w:sz w:val="26"/>
          <w:szCs w:val="26"/>
        </w:rPr>
        <w:t xml:space="preserve">Active Subscriber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tcPr>
          <w:p>
            <w:r>
              <w:rPr>
                <w:sz w:val="22"/>
                <w:szCs w:val="22"/>
              </w:rPr>
              <w:t xml:space="preserve"/>
            </w:r>
          </w:p>
        </w:tc>
        <w:tc>
          <w:tcPr>
            <w:tcW w:type="dxa" w:w="912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r>
              <w:rPr>
                <w:rFonts w:ascii="Arial" w:cs="Arial" w:eastAsia="Arial" w:hAnsi="Arial"/>
                <w:i/>
                <w:iCs/>
                <w:color w:val="1B3A5C"/>
                <w:sz w:val="21"/>
                <w:szCs w:val="21"/>
              </w:rPr>
              <w:t xml:space="preserve">A subscriber was classified as 'active' if they had recorded any network activity — calls, data usage, or financial transaction — within the preceding 180 days. This definition was agreed with the client as a formal business rule and applied consistently across all analysis. Subscribers with zero activity beyond 180 days were classified as inactive, regardless of whether their account remained technically open.</w:t>
            </w:r>
          </w:p>
        </w:tc>
      </w:tr>
    </w:tbl>
    <w:p>
      <w:pPr>
        <w:spacing w:before="80" w:after="80"/>
      </w:pPr>
      <w:r>
        <w:t xml:space="preserve"/>
      </w:r>
    </w:p>
    <w:p>
      <w:r>
        <w:br w:type="page"/>
      </w:r>
    </w:p>
    <w:p>
      <w:pPr>
        <w:pStyle w:val="Heading1"/>
        <w:spacing w:before="360" w:after="120"/>
      </w:pPr>
      <w:r>
        <w:rPr>
          <w:rFonts w:ascii="Arial" w:cs="Arial" w:eastAsia="Arial" w:hAnsi="Arial"/>
          <w:b/>
          <w:bCs/>
          <w:color w:val="1B4F8A"/>
          <w:sz w:val="32"/>
          <w:szCs w:val="32"/>
        </w:rPr>
        <w:t xml:space="preserve">4. Methodology</w:t>
      </w:r>
    </w:p>
    <w:p>
      <w:pPr>
        <w:pBdr>
          <w:bottom w:val="single" w:color="2E75B6" w:sz="4" w:space="1"/>
        </w:pBdr>
        <w:spacing w:before="160" w:after="160"/>
      </w:pPr>
      <w:r>
        <w:t xml:space="preserve"/>
      </w:r>
    </w:p>
    <w:p>
      <w:pPr>
        <w:spacing w:before="80" w:after="120" w:line="280"/>
      </w:pPr>
      <w:r>
        <w:rPr>
          <w:rFonts w:ascii="Arial" w:cs="Arial" w:eastAsia="Arial" w:hAnsi="Arial"/>
          <w:color w:val="2C2C2A"/>
          <w:sz w:val="22"/>
          <w:szCs w:val="22"/>
        </w:rPr>
        <w:t xml:space="preserve">The engagement followed a structured four-phase methodology: Assess, Diagnose, Remediate, and Embed.</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Phase 1 — Onboarding Pause and Baseline Assessment (Days 1-15)</w:t>
      </w:r>
    </w:p>
    <w:p>
      <w:pPr>
        <w:spacing w:before="80" w:after="120" w:line="280"/>
      </w:pPr>
      <w:r>
        <w:rPr>
          <w:rFonts w:ascii="Arial" w:cs="Arial" w:eastAsia="Arial" w:hAnsi="Arial"/>
          <w:color w:val="2C2C2A"/>
          <w:sz w:val="22"/>
          <w:szCs w:val="22"/>
        </w:rPr>
        <w:t xml:space="preserve">In the first 15 days of the engagement, new customer onboarding activities were placed on hold. This was a significant operational decision — pausing the primary subscriber acquisition function of a telecoms operator — but one justified by the scale of data integrity issues identified during initial scoping. Continuing to onboard new subscribers onto a broken data foundation would have compounded the problem and contaminated the audit baseline.</w:t>
      </w:r>
    </w:p>
    <w:p>
      <w:pPr>
        <w:spacing w:before="80" w:after="80"/>
      </w:pPr>
      <w:r>
        <w:t xml:space="preserve"/>
      </w:r>
    </w:p>
    <w:p>
      <w:pPr>
        <w:spacing w:before="80" w:after="120" w:line="280"/>
      </w:pPr>
      <w:r>
        <w:rPr>
          <w:rFonts w:ascii="Arial" w:cs="Arial" w:eastAsia="Arial" w:hAnsi="Arial"/>
          <w:color w:val="2C2C2A"/>
          <w:sz w:val="22"/>
          <w:szCs w:val="22"/>
        </w:rPr>
        <w:t xml:space="preserve">During this period, the team conducted a full data profiling exercise across the subscriber database, CRM, billing system, and KYC records. Each data domain was assessed against the six standard dimensions of data quality.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DQ Dimension</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4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How it Manifested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Completeness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 required fields populated?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KYC records missing mandatory PII fields; subscriber records with no contact data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Uniqueness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Are there duplicate records?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1.8M duplicate accounts identified via PII matching across name, address, NIN, and contact number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Accuracy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data reflect reality?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 enterprise customers misclassified as individual — causing systematic underbilling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Validity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Does data conform to expected formats?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KYC records not meeting NCC regulatory standards; inconsistent field formats across onboarding channels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Timeliness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data current enough to be useful?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~4M subscribers classified inactive under the 180-day rule; data reflecting long-stale states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Consistency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 the same data defined the same way across systems?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Subscriber definitions, field labels, and collection standards differed between field agent and service centre channels</w:t>
            </w:r>
          </w:p>
        </w:tc>
      </w:tr>
    </w:tbl>
    <w:p>
      <w:pPr>
        <w:spacing w:before="80" w:after="80"/>
      </w:pPr>
      <w:r>
        <w:t xml:space="preserve"/>
      </w:r>
    </w:p>
    <w:p>
      <w:pPr>
        <w:pStyle w:val="Heading2"/>
        <w:spacing w:before="280" w:after="100"/>
      </w:pPr>
      <w:r>
        <w:rPr>
          <w:rFonts w:ascii="Arial" w:cs="Arial" w:eastAsia="Arial" w:hAnsi="Arial"/>
          <w:b/>
          <w:bCs/>
          <w:color w:val="1B4F8A"/>
          <w:sz w:val="26"/>
          <w:szCs w:val="26"/>
        </w:rPr>
        <w:t xml:space="preserve">Phase 2 — Duplicate Detection and Record Matching</w:t>
      </w:r>
    </w:p>
    <w:p>
      <w:pPr>
        <w:spacing w:before="80" w:after="120" w:line="280"/>
      </w:pPr>
      <w:r>
        <w:rPr>
          <w:rFonts w:ascii="Arial" w:cs="Arial" w:eastAsia="Arial" w:hAnsi="Arial"/>
          <w:color w:val="2C2C2A"/>
          <w:sz w:val="22"/>
          <w:szCs w:val="22"/>
        </w:rPr>
        <w:t xml:space="preserve">Duplicate detection was conducted using a multi-level matching strategy applied to the full subscriber database. The team matched on four levels: name matching (exact and fuzzy, using phonetic algorithms to capture spelling variants common in Nigerian names), address matching (normalised with partial matching thresholds), NIN matching (used as the most reliable single identifier where available), and contact number matching (MSISDNs and secondary numbers matched cross-records).</w:t>
      </w:r>
    </w:p>
    <w:p>
      <w:pPr>
        <w:spacing w:before="80" w:after="80"/>
      </w:pPr>
      <w:r>
        <w:t xml:space="preserve"/>
      </w:r>
    </w:p>
    <w:p>
      <w:pPr>
        <w:spacing w:before="80" w:after="120" w:line="280"/>
      </w:pPr>
      <w:r>
        <w:rPr>
          <w:rFonts w:ascii="Arial" w:cs="Arial" w:eastAsia="Arial" w:hAnsi="Arial"/>
          <w:color w:val="2C2C2A"/>
          <w:sz w:val="22"/>
          <w:szCs w:val="22"/>
        </w:rPr>
        <w:t xml:space="preserve">Records were assigned a match confidence score. Those exceeding the defined threshold were flagged as confirmed duplicates; those in an intermediate band were set aside for manual review. This approach produced the finding of 1.8 million confirmed duplicate accounts — representing 9% of the total subscriber base.</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Phase 3 — KYC Audit Against NCC Standards</w:t>
      </w:r>
    </w:p>
    <w:p>
      <w:pPr>
        <w:spacing w:before="80" w:after="120" w:line="280"/>
      </w:pPr>
      <w:r>
        <w:rPr>
          <w:rFonts w:ascii="Arial" w:cs="Arial" w:eastAsia="Arial" w:hAnsi="Arial"/>
          <w:color w:val="2C2C2A"/>
          <w:sz w:val="22"/>
          <w:szCs w:val="22"/>
        </w:rPr>
        <w:t xml:space="preserve">All KYC records were assessed against the Nigerian Communications Commission's subscriber registration requirements. Gaps were found to be systematically linked to the onboarding channel. Field agent registrations consistently contained fewer data fields than service centre registrations — a direct consequence of different collection standards operating in parallel without a unified policy. This was a root cause finding, not just a symptom.</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Phase 4 — Tooling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7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Application in This Engagement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data extraction, transformation, and profiling queries across subscriber and billing databases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Fuzzy matching algorithms for duplicate detection; data profiling scripts; automation of repetitive cleansing tasks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BI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Scorecard and dashboard development; geographic subscriber distribution visualisation; progress reporting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Informatica</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Enterprise ETL and data quality tooling; rule definition and automated cleansing workflows at scale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Collibra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governance platform used for business glossary development, critical data element documentation, and stewardship assignment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Excel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Manual review datasets, business rule documentation, KYC gap tracking matrices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 Access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system access for customer classification audit and billing anomaly investigation</w:t>
            </w:r>
          </w:p>
        </w:tc>
      </w:tr>
    </w:tbl>
    <w:p>
      <w:pPr>
        <w:spacing w:before="80" w:after="80"/>
      </w:pPr>
      <w:r>
        <w:t xml:space="preserve"/>
      </w:r>
    </w:p>
    <w:p>
      <w:r>
        <w:br w:type="page"/>
      </w:r>
    </w:p>
    <w:p>
      <w:pPr>
        <w:pStyle w:val="Heading1"/>
        <w:spacing w:before="360" w:after="120"/>
      </w:pPr>
      <w:r>
        <w:rPr>
          <w:rFonts w:ascii="Arial" w:cs="Arial" w:eastAsia="Arial" w:hAnsi="Arial"/>
          <w:b/>
          <w:bCs/>
          <w:color w:val="1B4F8A"/>
          <w:sz w:val="32"/>
          <w:szCs w:val="32"/>
        </w:rPr>
        <w:t xml:space="preserve">5. Key Findings</w:t>
      </w:r>
    </w:p>
    <w:p>
      <w:pPr>
        <w:pBdr>
          <w:bottom w:val="single" w:color="2E75B6" w:sz="4" w:space="1"/>
        </w:pBdr>
        <w:spacing w:before="160" w:after="160"/>
      </w:pPr>
      <w:r>
        <w:t xml:space="preserve"/>
      </w:r>
    </w:p>
    <w:p>
      <w:pPr>
        <w:pStyle w:val="Heading2"/>
        <w:spacing w:before="280" w:after="100"/>
      </w:pPr>
      <w:r>
        <w:rPr>
          <w:rFonts w:ascii="Arial" w:cs="Arial" w:eastAsia="Arial" w:hAnsi="Arial"/>
          <w:b/>
          <w:bCs/>
          <w:color w:val="1B4F8A"/>
          <w:sz w:val="26"/>
          <w:szCs w:val="26"/>
        </w:rPr>
        <w:t xml:space="preserve">5.1 Subscriber Base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 of Reported Base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Gross Records (inc. duplicates)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~21,800,000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109%</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Confirmed Duplicates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~1,800,000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Post-Deduplication 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Inactive Subscribers (180d)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~4,000,000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Active Base (estimated)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~14,200,000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w:t>
            </w:r>
          </w:p>
        </w:tc>
      </w:tr>
    </w:tbl>
    <w:p>
      <w:pPr>
        <w:spacing w:before="80" w:after="80"/>
      </w:pPr>
      <w:r>
        <w:t xml:space="preserve"/>
      </w:r>
    </w:p>
    <w:p>
      <w:pPr>
        <w:spacing w:before="80" w:after="120" w:line="280"/>
      </w:pPr>
      <w:r>
        <w:rPr>
          <w:rFonts w:ascii="Arial" w:cs="Arial" w:eastAsia="Arial" w:hAnsi="Arial"/>
          <w:color w:val="2C2C2A"/>
          <w:sz w:val="22"/>
          <w:szCs w:val="22"/>
        </w:rPr>
        <w:t xml:space="preserve">The acquiring party had been operating under the assumption of a 20 million subscriber base. The audit established that the true active, non-duplicate subscriber count was approximately 14.2 million — a 29% reduction from the reported figure that had a direct and material impact on the acquisition valuation.</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5.2 Duplicate Subscribers</w:t>
      </w:r>
    </w:p>
    <w:p>
      <w:pPr>
        <w:spacing w:before="80" w:after="120" w:line="280"/>
      </w:pPr>
      <w:r>
        <w:rPr>
          <w:rFonts w:ascii="Arial" w:cs="Arial" w:eastAsia="Arial" w:hAnsi="Arial"/>
          <w:color w:val="2C2C2A"/>
          <w:sz w:val="22"/>
          <w:szCs w:val="22"/>
        </w:rPr>
        <w:t xml:space="preserve">1.8 million duplicate accounts were confirmed — representing 9% of the total subscriber base. These duplicates had accumulated through several mechanisms: legacy data carried forward from the prior acquisition without deduplication; re-registration of existing subscribers by field agents; and PII reuse across related family members sharing contact details without adequate differentiation.</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5.3 KYC Compliance Gaps</w:t>
      </w:r>
    </w:p>
    <w:p>
      <w:pPr>
        <w:spacing w:before="80" w:after="120" w:line="280"/>
      </w:pPr>
      <w:r>
        <w:rPr>
          <w:rFonts w:ascii="Arial" w:cs="Arial" w:eastAsia="Arial" w:hAnsi="Arial"/>
          <w:color w:val="2C2C2A"/>
          <w:sz w:val="22"/>
          <w:szCs w:val="22"/>
        </w:rPr>
        <w:t xml:space="preserve">KYC records were assessed against NCC subscriber registration requirements. Significant gaps were identified, concentrated in records originating from field agent onboarding channels. These records had been created under a 'minimum viable KYC' approach — sufficient to activate a SIM, but insufficient to meet regulatory standards or support downstream processes such as credit recovery.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tcPr>
          <w:p>
            <w:r>
              <w:rPr>
                <w:sz w:val="22"/>
                <w:szCs w:val="22"/>
              </w:rPr>
              <w:t xml:space="preserve"/>
            </w:r>
          </w:p>
        </w:tc>
        <w:tc>
          <w:tcPr>
            <w:tcW w:type="dxa" w:w="912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r>
              <w:rPr>
                <w:rFonts w:ascii="Arial" w:cs="Arial" w:eastAsia="Arial" w:hAnsi="Arial"/>
                <w:i/>
                <w:iCs/>
                <w:color w:val="1B3A5C"/>
                <w:sz w:val="21"/>
                <w:szCs w:val="21"/>
              </w:rPr>
              <w:t xml:space="preserve">The student credit scheme had been extended to subscribers whose KYC records did not contain sufficient data to support debt recovery in the event of default. This was a direct consequence of minimum-standard onboarding — the business had extended credit without the data infrastructure to enforce repayment.</w:t>
            </w:r>
          </w:p>
        </w:tc>
      </w:tr>
    </w:tbl>
    <w:p>
      <w:pPr>
        <w:spacing w:before="80" w:after="80"/>
      </w:pPr>
      <w:r>
        <w:t xml:space="preserve"/>
      </w:r>
    </w:p>
    <w:p>
      <w:pPr>
        <w:pStyle w:val="Heading2"/>
        <w:spacing w:before="280" w:after="100"/>
      </w:pPr>
      <w:r>
        <w:rPr>
          <w:rFonts w:ascii="Arial" w:cs="Arial" w:eastAsia="Arial" w:hAnsi="Arial"/>
          <w:b/>
          <w:bCs/>
          <w:color w:val="1B4F8A"/>
          <w:sz w:val="26"/>
          <w:szCs w:val="26"/>
        </w:rPr>
        <w:t xml:space="preserve">5.4 CRM Misclassification</w:t>
      </w:r>
    </w:p>
    <w:p>
      <w:pPr>
        <w:spacing w:before="80" w:after="120" w:line="280"/>
      </w:pPr>
      <w:r>
        <w:rPr>
          <w:rFonts w:ascii="Arial" w:cs="Arial" w:eastAsia="Arial" w:hAnsi="Arial"/>
          <w:color w:val="2C2C2A"/>
          <w:sz w:val="22"/>
          <w:szCs w:val="22"/>
        </w:rPr>
        <w:t xml:space="preserve">Over 600 subscriber accounts were found to be incorrectly classified as individual customers in the CRM when they were, in fact, enterprise accounts. Enterprise accounts carry materially higher billing rates than individual accounts. The misclassification meant these customers had been systematically undercharged throughout their account lifetime. While 600+ accounts represents a fraction of the base, the financial impact was disproportionate due to the significantly higher enterprise billing rates involved.</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5.5 The Student Credit Scheme</w:t>
      </w:r>
    </w:p>
    <w:p>
      <w:pPr>
        <w:spacing w:before="80" w:after="120" w:line="280"/>
      </w:pPr>
      <w:r>
        <w:rPr>
          <w:rFonts w:ascii="Arial" w:cs="Arial" w:eastAsia="Arial" w:hAnsi="Arial"/>
          <w:color w:val="2C2C2A"/>
          <w:sz w:val="22"/>
          <w:szCs w:val="22"/>
        </w:rPr>
        <w:t xml:space="preserve">The operator had launched a student subscriber credit scheme offering short-term credit facilities to eligible subscribers. The total loan book across the scheme stood at approximately ₦23.5 million naira. The scheme was commercially attractive but operationally underprepared: it had been deployed on top of a subscriber base that lacked the data depth to support credit risk assessment or debt recovery.</w:t>
      </w:r>
    </w:p>
    <w:p>
      <w:pPr>
        <w:spacing w:before="80" w:after="80"/>
      </w:pPr>
      <w:r>
        <w:t xml:space="preserve"/>
      </w:r>
    </w:p>
    <w:p>
      <w:pPr>
        <w:spacing w:before="80" w:after="120" w:line="280"/>
      </w:pPr>
      <w:r>
        <w:rPr>
          <w:rFonts w:ascii="Arial" w:cs="Arial" w:eastAsia="Arial" w:hAnsi="Arial"/>
          <w:color w:val="2C2C2A"/>
          <w:sz w:val="22"/>
          <w:szCs w:val="22"/>
        </w:rPr>
        <w:t xml:space="preserve">When defaults occurred, recovery proved near-impossible. The company did not hold sufficient verified PII — addresses, guarantors, NINs — for a significant proportion of scheme participants. The KYC remediation work carried out during the engagement addressed this directly. Collection rates on the outstanding book improved from 9% in the prior year to 30% following the KYC remediation — a 21 percentage point improvement attributable directly to the data quality work.</w:t>
      </w:r>
    </w:p>
    <w:p>
      <w:pPr>
        <w:spacing w:before="80" w:after="80"/>
      </w:pPr>
      <w:r>
        <w:t xml:space="preserve"/>
      </w:r>
    </w:p>
    <w:p>
      <w:pPr>
        <w:spacing w:before="80" w:after="120" w:line="280"/>
      </w:pPr>
      <w:r>
        <w:rPr>
          <w:rFonts w:ascii="Arial" w:cs="Arial" w:eastAsia="Arial" w:hAnsi="Arial"/>
          <w:color w:val="2C2C2A"/>
          <w:sz w:val="22"/>
          <w:szCs w:val="22"/>
        </w:rPr>
        <w:t xml:space="preserve">The causal chain below illustrates how a data quality failure at onboarding produced financial consequences at board level: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8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Event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KYC standard applied at onboarding</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8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Insufficient customer data captured across scheme participants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 scheme launched on weak data foundation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8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Defaults occurred; recovery was not possible without adequate PII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KYC remediation conducted during engagement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8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Collection rate improved from 9% to 30% on ₦23.5M book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auditors applied recoverability discount to outstanding balance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8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Acquisition valuation adjusted accordingly</w:t>
            </w:r>
          </w:p>
        </w:tc>
      </w:tr>
    </w:tbl>
    <w:p>
      <w:pPr>
        <w:spacing w:before="80" w:after="80"/>
      </w:pPr>
      <w:r>
        <w:t xml:space="preserve"/>
      </w:r>
    </w:p>
    <w:p>
      <w:r>
        <w:br w:type="page"/>
      </w:r>
    </w:p>
    <w:p>
      <w:pPr>
        <w:pStyle w:val="Heading1"/>
        <w:spacing w:before="360" w:after="120"/>
      </w:pPr>
      <w:r>
        <w:rPr>
          <w:rFonts w:ascii="Arial" w:cs="Arial" w:eastAsia="Arial" w:hAnsi="Arial"/>
          <w:b/>
          <w:bCs/>
          <w:color w:val="1B4F8A"/>
          <w:sz w:val="32"/>
          <w:szCs w:val="32"/>
        </w:rPr>
        <w:t xml:space="preserve">6. Root Cause Analysis</w:t>
      </w:r>
    </w:p>
    <w:p>
      <w:pPr>
        <w:pBdr>
          <w:bottom w:val="single" w:color="2E75B6" w:sz="4" w:space="1"/>
        </w:pBdr>
        <w:spacing w:before="160" w:after="160"/>
      </w:pPr>
      <w:r>
        <w:t xml:space="preserve"/>
      </w:r>
    </w:p>
    <w:p>
      <w:pPr>
        <w:spacing w:before="80" w:after="120" w:line="280"/>
      </w:pPr>
      <w:r>
        <w:rPr>
          <w:rFonts w:ascii="Arial" w:cs="Arial" w:eastAsia="Arial" w:hAnsi="Arial"/>
          <w:color w:val="2C2C2A"/>
          <w:sz w:val="22"/>
          <w:szCs w:val="22"/>
        </w:rPr>
        <w:t xml:space="preserve">Identifying the symptoms of poor data quality is the starting point of any audit. Understanding why those symptoms exist is what separates a data quality analyst from a data quality strategist. The following root causes were identified as the systemic drivers of the issues found.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Domains Affected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Data Ownership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individual or team was formally accountable for data quality. Without ownership, there is no incentive to maintain standards and no escalation path when problems arise.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domains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Inconsistent Channel Standards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Field agents and service centres operated to materially different data collection standards. No unified onboarding policy existed.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KYC, Duplicates, Completeness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Viable KYC Culture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Subscriber acquisition speed was prioritised over data completeness. The bar for onboarding was set at the minimum needed to activate a SIM, not the minimum needed to serve or recover from a customer.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KYC, Credit Recovery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Inherited Data Debt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previous ownership transition had merged subscriber databases without adequate deduplication or standardisation.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Duplicates, Consistency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Governance Deprioritised Post-Acquisition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leadership focused on commercial growth metrics. Data governance was not part of the strategic agenda.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domains</w:t>
            </w:r>
          </w:p>
        </w:tc>
      </w:tr>
    </w:tbl>
    <w:p>
      <w:pPr>
        <w:spacing w:before="80" w:after="80"/>
      </w:pPr>
      <w:r>
        <w:t xml:space="preserve"/>
      </w:r>
    </w:p>
    <w:p>
      <w:r>
        <w:br w:type="page"/>
      </w:r>
    </w:p>
    <w:p>
      <w:pPr>
        <w:pStyle w:val="Heading1"/>
        <w:spacing w:before="360" w:after="120"/>
      </w:pPr>
      <w:r>
        <w:rPr>
          <w:rFonts w:ascii="Arial" w:cs="Arial" w:eastAsia="Arial" w:hAnsi="Arial"/>
          <w:b/>
          <w:bCs/>
          <w:color w:val="1B4F8A"/>
          <w:sz w:val="32"/>
          <w:szCs w:val="32"/>
        </w:rPr>
        <w:t xml:space="preserve">7. Recommendations and Frameworks Delivered</w:t>
      </w:r>
    </w:p>
    <w:p>
      <w:pPr>
        <w:pBdr>
          <w:bottom w:val="single" w:color="2E75B6" w:sz="4" w:space="1"/>
        </w:pBdr>
        <w:spacing w:before="160" w:after="160"/>
      </w:pPr>
      <w:r>
        <w:t xml:space="preserve"/>
      </w:r>
    </w:p>
    <w:p>
      <w:pPr>
        <w:pStyle w:val="Heading2"/>
        <w:spacing w:before="280" w:after="100"/>
      </w:pPr>
      <w:r>
        <w:rPr>
          <w:rFonts w:ascii="Arial" w:cs="Arial" w:eastAsia="Arial" w:hAnsi="Arial"/>
          <w:b/>
          <w:bCs/>
          <w:color w:val="1B4F8A"/>
          <w:sz w:val="26"/>
          <w:szCs w:val="26"/>
        </w:rPr>
        <w:t xml:space="preserve">7.1 Customer Data Lifecycle Framework</w:t>
      </w:r>
    </w:p>
    <w:p>
      <w:pPr>
        <w:spacing w:before="80" w:after="120" w:line="280"/>
      </w:pPr>
      <w:r>
        <w:rPr>
          <w:rFonts w:ascii="Arial" w:cs="Arial" w:eastAsia="Arial" w:hAnsi="Arial"/>
          <w:color w:val="2C2C2A"/>
          <w:sz w:val="22"/>
          <w:szCs w:val="22"/>
        </w:rPr>
        <w:t xml:space="preserve">A formal framework was designed to govern subscriber data from initial onboarding through to account inactivity or closure. Key principles included a standardised, channel-agnostic set of minimum PII fields required at registration; a two-tier onboarding model allowing field agents to perform rapid onboarding while requiring service centre completion within 90 days; formal rules governing active/inactive lifecycle transitions; and data retention and disposal standards aligned to NCC requirements.</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7.2 Revised KYC Standard</w:t>
      </w:r>
    </w:p>
    <w:p>
      <w:pPr>
        <w:spacing w:before="80" w:after="120" w:line="280"/>
      </w:pPr>
      <w:r>
        <w:rPr>
          <w:rFonts w:ascii="Arial" w:cs="Arial" w:eastAsia="Arial" w:hAnsi="Arial"/>
          <w:color w:val="2C2C2A"/>
          <w:sz w:val="22"/>
          <w:szCs w:val="22"/>
        </w:rPr>
        <w:t xml:space="preserve">Internal KYC standards were updated to align with NCC regulatory requirements and to support downstream business needs. The revised standard included mandatory NIN capture at registration, minimum address verification with a structured format, secondary contact number capture for accounts above a defined usage threshold, and enterprise account identification criteria embedded in the CRM workflow to prevent future misclassification.</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7.3 Data Stewardship Structure</w:t>
      </w:r>
    </w:p>
    <w:p>
      <w:pPr>
        <w:spacing w:before="80" w:after="120" w:line="280"/>
      </w:pPr>
      <w:r>
        <w:rPr>
          <w:rFonts w:ascii="Arial" w:cs="Arial" w:eastAsia="Arial" w:hAnsi="Arial"/>
          <w:color w:val="2C2C2A"/>
          <w:sz w:val="22"/>
          <w:szCs w:val="22"/>
        </w:rPr>
        <w:t xml:space="preserve">A basic data stewardship model was designed and assigned using Collibra as the governance platform. This included data domain ownership with named business owners accountable for ongoing quality, Critical Data Element documentation including the formally defined 'active subscriber' definition, and a defined escalation path for raising and resolving data quality issues.</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7.4 Data Quality Monitoring Framework</w:t>
      </w:r>
    </w:p>
    <w:p>
      <w:pPr>
        <w:spacing w:before="80" w:after="120" w:line="280"/>
      </w:pPr>
      <w:r>
        <w:rPr>
          <w:rFonts w:ascii="Arial" w:cs="Arial" w:eastAsia="Arial" w:hAnsi="Arial"/>
          <w:color w:val="2C2C2A"/>
          <w:sz w:val="22"/>
          <w:szCs w:val="22"/>
        </w:rPr>
        <w:t xml:space="preserve">A set of ongoing data quality KPIs was defined and built into a Power BI monitoring dashboard, enabling the client to track the health of their subscriber data on an ongoing basis post-engagement. Metrics included duplicate rate, KYC completeness score, active/inactive ratio, and CRM classification accuracy.</w:t>
      </w:r>
    </w:p>
    <w:p>
      <w:pPr>
        <w:spacing w:before="80" w:after="80"/>
      </w:pPr>
      <w:r>
        <w:t xml:space="preserve"/>
      </w:r>
    </w:p>
    <w:p>
      <w:r>
        <w:br w:type="page"/>
      </w:r>
    </w:p>
    <w:p>
      <w:pPr>
        <w:pStyle w:val="Heading1"/>
        <w:spacing w:before="360" w:after="120"/>
      </w:pPr>
      <w:r>
        <w:rPr>
          <w:rFonts w:ascii="Arial" w:cs="Arial" w:eastAsia="Arial" w:hAnsi="Arial"/>
          <w:b/>
          <w:bCs/>
          <w:color w:val="1B4F8A"/>
          <w:sz w:val="32"/>
          <w:szCs w:val="32"/>
        </w:rPr>
        <w:t xml:space="preserve">8. Implementation and Post-Engagement Monitoring</w:t>
      </w:r>
    </w:p>
    <w:p>
      <w:pPr>
        <w:pBdr>
          <w:bottom w:val="single" w:color="2E75B6" w:sz="4" w:space="1"/>
        </w:pBdr>
        <w:spacing w:before="160" w:after="160"/>
      </w:pPr>
      <w:r>
        <w:t xml:space="preserve"/>
      </w:r>
    </w:p>
    <w:p>
      <w:pPr>
        <w:pStyle w:val="Heading2"/>
        <w:spacing w:before="280" w:after="100"/>
      </w:pPr>
      <w:r>
        <w:rPr>
          <w:rFonts w:ascii="Arial" w:cs="Arial" w:eastAsia="Arial" w:hAnsi="Arial"/>
          <w:b/>
          <w:bCs/>
          <w:color w:val="1B4F8A"/>
          <w:sz w:val="26"/>
          <w:szCs w:val="26"/>
        </w:rPr>
        <w:t xml:space="preserve">8.1 The 15-Day Onboarding Pause</w:t>
      </w:r>
    </w:p>
    <w:p>
      <w:pPr>
        <w:spacing w:before="80" w:after="120" w:line="280"/>
      </w:pPr>
      <w:r>
        <w:rPr>
          <w:rFonts w:ascii="Arial" w:cs="Arial" w:eastAsia="Arial" w:hAnsi="Arial"/>
          <w:color w:val="2C2C2A"/>
          <w:sz w:val="22"/>
          <w:szCs w:val="22"/>
        </w:rPr>
        <w:t xml:space="preserve">The decision to halt new subscriber onboarding for the first 15 days of the engagement was one of the most operationally significant recommendations of the project. In an industry where subscriber acquisition is the primary growth metric, pausing that activity entirely is not a decision taken lightly. The acceptance of this recommendation by the client is itself evidence of the credibility and commercial weight of the findings.</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8.2 30-Day Post-Implementation Monitoring</w:t>
      </w:r>
    </w:p>
    <w:p>
      <w:pPr>
        <w:spacing w:before="80" w:after="120" w:line="280"/>
      </w:pPr>
      <w:r>
        <w:rPr>
          <w:rFonts w:ascii="Arial" w:cs="Arial" w:eastAsia="Arial" w:hAnsi="Arial"/>
          <w:color w:val="2C2C2A"/>
          <w:sz w:val="22"/>
          <w:szCs w:val="22"/>
        </w:rPr>
        <w:t xml:space="preserve">Following the delivery of the frameworks and revised standards, the team remained engaged for a 30-day monitoring period to validate adoption and measure early performance against the new quality KPIs. Frameworks that are designed but not monitored frequently revert to prior behaviour within weeks. The monitoring period provided an early indication of whether the root causes had been adequately addressed.</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8.3 Enterprise-Wide Data Awareness Training</w:t>
      </w:r>
    </w:p>
    <w:p>
      <w:pPr>
        <w:spacing w:before="80" w:after="120" w:line="280"/>
      </w:pPr>
      <w:r>
        <w:rPr>
          <w:rFonts w:ascii="Arial" w:cs="Arial" w:eastAsia="Arial" w:hAnsi="Arial"/>
          <w:color w:val="2C2C2A"/>
          <w:sz w:val="22"/>
          <w:szCs w:val="22"/>
        </w:rPr>
        <w:t xml:space="preserve">In-house training sessions were delivered to operational and management staff across the organisation. I contributed directly to the design and development of the training programme content, including the KYC implementation guidance and data stewardship awareness materials. The training programme covered NCC regulatory requirements, the current state scorecard, forward projections, enterprise-wide data stewardship responsibilities, and KYC implementation guidance for operational staff.</w:t>
      </w:r>
    </w:p>
    <w:p>
      <w:pPr>
        <w:spacing w:before="80" w:after="80"/>
      </w:pPr>
      <w:r>
        <w:t xml:space="preserve"/>
      </w:r>
    </w:p>
    <w:p>
      <w:r>
        <w:br w:type="page"/>
      </w:r>
    </w:p>
    <w:p>
      <w:pPr>
        <w:pStyle w:val="Heading1"/>
        <w:spacing w:before="360" w:after="120"/>
      </w:pPr>
      <w:r>
        <w:rPr>
          <w:rFonts w:ascii="Arial" w:cs="Arial" w:eastAsia="Arial" w:hAnsi="Arial"/>
          <w:b/>
          <w:bCs/>
          <w:color w:val="1B4F8A"/>
          <w:sz w:val="32"/>
          <w:szCs w:val="32"/>
        </w:rPr>
        <w:t xml:space="preserve">9. Business Impact</w:t>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Impact Area</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Acquisition Valuation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true active subscriber base was established at ~14.2M against a reported 20M. This materially adjusted the commercial value of the primary asset being acquired.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Credit Risk Visibility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student credit scheme's ₦23.5M loan book was quantified and assessed. KYC remediation drove collection rates from 9% to 30%, providing financial auditors with a realistic recoverability picture.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Leakage Identified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 enterprise accounts previously billed at individual rates were identified and corrected. Forward billing accuracy for the highest-value subscriber segment was restored.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Regulatory Compliance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KYC records were brought into alignment with NCC standards, reducing the operator's regulatory exposure.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Governance Foundation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the first time, the operator had a formal data ownership structure, a business glossary, a data quality monitoring dashboard, and a lifecycle framework governing subscriber data end-to-end.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Operational Resilience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two-tier onboarding model preserved field agent speed while building in a compliance completion step.</w:t>
            </w:r>
          </w:p>
        </w:tc>
      </w:tr>
    </w:tbl>
    <w:p>
      <w:pPr>
        <w:spacing w:before="80" w:after="80"/>
      </w:pPr>
      <w:r>
        <w:t xml:space="preserve"/>
      </w:r>
    </w:p>
    <w:p>
      <w:r>
        <w:br w:type="page"/>
      </w:r>
    </w:p>
    <w:p>
      <w:pPr>
        <w:pStyle w:val="Heading1"/>
        <w:spacing w:before="360" w:after="120"/>
      </w:pPr>
      <w:r>
        <w:rPr>
          <w:rFonts w:ascii="Arial" w:cs="Arial" w:eastAsia="Arial" w:hAnsi="Arial"/>
          <w:b/>
          <w:bCs/>
          <w:color w:val="1B4F8A"/>
          <w:sz w:val="32"/>
          <w:szCs w:val="32"/>
        </w:rPr>
        <w:t xml:space="preserve">10. Lessons Learned and Reflections</w:t>
      </w:r>
    </w:p>
    <w:p>
      <w:pPr>
        <w:pBdr>
          <w:bottom w:val="single" w:color="2E75B6" w:sz="4" w:space="1"/>
        </w:pBdr>
        <w:spacing w:before="160" w:after="160"/>
      </w:pPr>
      <w:r>
        <w:t xml:space="preserve"/>
      </w:r>
    </w:p>
    <w:p>
      <w:pPr>
        <w:pStyle w:val="Heading2"/>
        <w:spacing w:before="280" w:after="100"/>
      </w:pPr>
      <w:r>
        <w:rPr>
          <w:rFonts w:ascii="Arial" w:cs="Arial" w:eastAsia="Arial" w:hAnsi="Arial"/>
          <w:b/>
          <w:bCs/>
          <w:color w:val="1B4F8A"/>
          <w:sz w:val="26"/>
          <w:szCs w:val="26"/>
        </w:rPr>
        <w:t xml:space="preserve">What Worked Well</w:t>
      </w:r>
    </w:p>
    <w:p>
      <w:pPr>
        <w:pStyle w:val="ListParagraph"/>
        <w:numPr>
          <w:ilvl w:val="0"/>
          <w:numId w:val="2"/>
        </w:numPr>
        <w:spacing w:before="60" w:after="60"/>
      </w:pPr>
      <w:r>
        <w:rPr>
          <w:rFonts w:ascii="Arial" w:cs="Arial" w:eastAsia="Arial" w:hAnsi="Arial"/>
          <w:color w:val="2C2C2A"/>
          <w:sz w:val="22"/>
          <w:szCs w:val="22"/>
        </w:rPr>
        <w:t xml:space="preserve">Defining business rules before touching data — establishing the active/inactive definition before any analysis began prevented contradictory outputs and gave all stakeholders a shared reference point.</w:t>
      </w:r>
    </w:p>
    <w:p>
      <w:pPr>
        <w:pStyle w:val="ListParagraph"/>
        <w:numPr>
          <w:ilvl w:val="0"/>
          <w:numId w:val="2"/>
        </w:numPr>
        <w:spacing w:before="60" w:after="60"/>
      </w:pPr>
      <w:r>
        <w:rPr>
          <w:rFonts w:ascii="Arial" w:cs="Arial" w:eastAsia="Arial" w:hAnsi="Arial"/>
          <w:color w:val="2C2C2A"/>
          <w:sz w:val="22"/>
          <w:szCs w:val="22"/>
        </w:rPr>
        <w:t xml:space="preserve">The two-tier onboarding model — a pragmatic solution that preserved field agent speed while building in a compliance step. The right balance of governance and commercial practicality.</w:t>
      </w:r>
    </w:p>
    <w:p>
      <w:pPr>
        <w:pStyle w:val="ListParagraph"/>
        <w:numPr>
          <w:ilvl w:val="0"/>
          <w:numId w:val="2"/>
        </w:numPr>
        <w:spacing w:before="60" w:after="60"/>
      </w:pPr>
      <w:r>
        <w:rPr>
          <w:rFonts w:ascii="Arial" w:cs="Arial" w:eastAsia="Arial" w:hAnsi="Arial"/>
          <w:color w:val="2C2C2A"/>
          <w:sz w:val="22"/>
          <w:szCs w:val="22"/>
        </w:rPr>
        <w:t xml:space="preserve">Root cause orientation — framing findings around systemic causes rather than data symptoms meant recommendations addressed durable change rather than one-off cleansing.</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What Could Be Strengthened</w:t>
      </w:r>
    </w:p>
    <w:p>
      <w:pPr>
        <w:pStyle w:val="ListParagraph"/>
        <w:numPr>
          <w:ilvl w:val="0"/>
          <w:numId w:val="2"/>
        </w:numPr>
        <w:spacing w:before="60" w:after="60"/>
      </w:pPr>
      <w:r>
        <w:rPr>
          <w:rFonts w:ascii="Arial" w:cs="Arial" w:eastAsia="Arial" w:hAnsi="Arial"/>
          <w:color w:val="2C2C2A"/>
          <w:sz w:val="22"/>
          <w:szCs w:val="22"/>
        </w:rPr>
        <w:t xml:space="preserve">Deeper probabilistic matching — incorporating IMEI matching, date of birth, and email where available would likely have surfaced additional duplicates and reduced manual review burden.</w:t>
      </w:r>
    </w:p>
    <w:p>
      <w:pPr>
        <w:pStyle w:val="ListParagraph"/>
        <w:numPr>
          <w:ilvl w:val="0"/>
          <w:numId w:val="2"/>
        </w:numPr>
        <w:spacing w:before="60" w:after="60"/>
      </w:pPr>
      <w:r>
        <w:rPr>
          <w:rFonts w:ascii="Arial" w:cs="Arial" w:eastAsia="Arial" w:hAnsi="Arial"/>
          <w:color w:val="2C2C2A"/>
          <w:sz w:val="22"/>
          <w:szCs w:val="22"/>
        </w:rPr>
        <w:t xml:space="preserve">Earlier stakeholder alignment on scope — the breadth of the engagement meant scope boundaries occasionally needed renegotiation mid-engagement. Tighter upfront scoping documentation would have reduced this friction.</w:t>
      </w:r>
    </w:p>
    <w:p>
      <w:pPr>
        <w:pStyle w:val="ListParagraph"/>
        <w:numPr>
          <w:ilvl w:val="0"/>
          <w:numId w:val="2"/>
        </w:numPr>
        <w:spacing w:before="60" w:after="60"/>
      </w:pPr>
      <w:r>
        <w:rPr>
          <w:rFonts w:ascii="Arial" w:cs="Arial" w:eastAsia="Arial" w:hAnsi="Arial"/>
          <w:color w:val="2C2C2A"/>
          <w:sz w:val="22"/>
          <w:szCs w:val="22"/>
        </w:rPr>
        <w:t xml:space="preserve">Post-training measurement — formal measurement of behavioural change at 30 and 90 days post-training would have provided stronger evidence of impact beyond the opt-in metric.</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The Broader Lesson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tcPr>
          <w:p>
            <w:r>
              <w:rPr>
                <w:sz w:val="22"/>
                <w:szCs w:val="22"/>
              </w:rPr>
              <w:t xml:space="preserve"/>
            </w:r>
          </w:p>
        </w:tc>
        <w:tc>
          <w:tcPr>
            <w:tcW w:type="dxa" w:w="912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r>
              <w:rPr>
                <w:rFonts w:ascii="Arial" w:cs="Arial" w:eastAsia="Arial" w:hAnsi="Arial"/>
                <w:i/>
                <w:iCs/>
                <w:color w:val="1B3A5C"/>
                <w:sz w:val="21"/>
                <w:szCs w:val="21"/>
              </w:rPr>
              <w:t xml:space="preserve">The root causes of every issue found in this engagement were organisational — ownership gaps, cultural priorities, process inconsistencies, and inherited decisions. The technology and analytical work was the instrument of diagnosis and remediation. But the real intervention was at the level of governance: establishing accountability, standards, and the expectation that data health is a business responsibility, not an IT afterthought.</w:t>
            </w:r>
          </w:p>
        </w:tc>
      </w:tr>
    </w:tbl>
    <w:p>
      <w:pPr>
        <w:spacing w:before="80"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8"/>
        <w:szCs w:val="18"/>
      </w:rPr>
      <w:t xml:space="preserve">Telecoms DQ Case Study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B4F8A"/>
        <w:sz w:val="20"/>
        <w:szCs w:val="20"/>
      </w:rPr>
      <w:t xml:space="preserve">Calvin Enobor</w:t>
    </w:r>
    <w:r>
      <w:rPr>
        <w:rFonts w:ascii="Arial" w:cs="Arial" w:eastAsia="Arial" w:hAnsi="Arial"/>
        <w:color w:val="888888"/>
        <w:sz w:val="20"/>
        <w:szCs w:val="20"/>
      </w:rPr>
      <w:t xml:space="preserve">   |   Data Quality &amp; Governance Specialist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F8A"/>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B4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2026-03-20T20:18:48.303Z</dcterms:created>
  <dcterms:modified xsi:type="dcterms:W3CDTF">2026-03-20T20:18:48.304Z</dcterms:modified>
</cp:coreProperties>
</file>

<file path=docProps/custom.xml><?xml version="1.0" encoding="utf-8"?>
<Properties xmlns="http://schemas.openxmlformats.org/officeDocument/2006/custom-properties" xmlns:vt="http://schemas.openxmlformats.org/officeDocument/2006/docPropsVTypes"/>
</file>