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w:t>
      </w:r>
    </w:p>
    <w:p>
      <w:r>
        <w:t>Please find our revised manuscript COMNET-D-26-03761 and point-by-point response.</w:t>
      </w:r>
    </w:p>
    <w:p>
      <w:r>
        <w:t>The revision adds 340 controlled two-flow runs, with implementation environments, network and queue settings, cross-implementation RTT/fairness comparisons, BBR/CUBIC coexistence, additional equal-RTT cases and an artificial-loss extension. We distinguish utilization from bandwidth allocation and retain measurement and implementation limitations.</w:t>
      </w:r>
    </w:p>
    <w:p>
      <w:r>
        <w:t>We corrected the inference from in-flight volume to bandwidth share, revised version-specific parameters and ECN statements, clarified the framework as a conditional assessment, and narrowed unsupported claims about learning-assisted control. The abstract, related-work discussion and mechanism figures have been revised. The AI declaration identifies the original figure-generation tool and distinguishes it from the scripted figures used in this revision.</w:t>
      </w:r>
    </w:p>
    <w:p>
      <w:r>
        <w:t>We also clarify the review methodology: the paper is a critical narrative survey with a documented supplemental search, and no longer presents the historical citation count as a completed systematic-review corpus. The search supplement preserves the available retrieval and screening records.</w:t>
      </w:r>
    </w:p>
    <w:p>
      <w:r>
        <w:t>We have strengthened the analytical contribution with an allocation-identifiability argument, explicit Jain/share feasibility conditions and requirement-dependent assessment outputs. A retrospective transfer evaluation calibrates on E1 and evaluates disjoint E3 conditions against a constant baseline, reporting both agreement and failure cases. A complete retrospective identity/role register for the 165 original references separates primary BBR material from supporting context and records source matches without inventing historical screening.</w:t>
      </w:r>
    </w:p>
    <w:p>
      <w:r>
        <w:t>Please note that the author order has been revised in the resubmission. The revised order is Zonglin Feng, Ruohan Ma, Shouzheng Xu, Xinyue Liu, and Tingjia Liu. Shouzheng Xu remains the corresponding author. All authors have reviewed and approved the revised author order and the submitted manuscript.</w:t>
      </w:r>
    </w:p>
    <w:p>
      <w:r>
        <w:t>The enclosed response identifies the changes. Thank you for considering our revision.</w:t>
      </w:r>
    </w:p>
    <w:p>
      <w:r>
        <w:t>Sincerely,</w:t>
        <w:br/>
        <w:t>The authors</w:t>
        <w:br/>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