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BBR evidence is organized by path conditions and implementation.</w:t>
      </w:r>
    </w:p>
    <w:p>
      <w:pPr>
        <w:pStyle w:val="ListBullet"/>
      </w:pPr>
      <w:r>
        <w:t>An analytical assessment separates utilization from bandwidth allocation.</w:t>
      </w:r>
    </w:p>
    <w:p>
      <w:pPr>
        <w:pStyle w:val="ListBullet"/>
      </w:pPr>
      <w:r>
        <w:t>Controlled experiments span 340 runs in four implementation environments.</w:t>
      </w:r>
    </w:p>
    <w:p>
      <w:pPr>
        <w:pStyle w:val="ListBullet"/>
      </w:pPr>
      <w:r>
        <w:t>Comparable utilization coexists with sharply different bandwidth shares.</w:t>
      </w:r>
    </w:p>
    <w:p>
      <w:pPr>
        <w:pStyle w:val="ListBullet"/>
      </w:pPr>
      <w:r>
        <w:t>Service requirements determine joint goodput and fairness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