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基金合同约定：当产品净值低于0.80时，管理人应及时向投资者提示风险。</w:t>
      </w:r>
    </w:p>
    <w:p>
      <w:r>
        <w:t>最新单位净值为0.72。</w:t>
      </w:r>
    </w:p>
  </w:body>
</w:document>
</file>