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0"/>
        <w:jc w:val="center"/>
      </w:pPr>
      <w:r>
        <w:rPr>
          <w:b/>
          <w:bCs/>
          <w:sz w:val="34"/>
          <w:szCs w:val="34"/>
        </w:rPr>
        <w:t xml:space="preserve">Intelligent Database-Driven Resource Allocation and Query Optimization for On-Demand Worker Marketplace Systems</w:t>
      </w:r>
    </w:p>
    <w:p>
      <w:pPr>
        <w:spacing w:after="800"/>
        <w:jc w:val="center"/>
      </w:pPr>
      <w:r>
        <w:rPr>
          <w:sz w:val="26"/>
          <w:szCs w:val="26"/>
        </w:rPr>
        <w:t xml:space="preserve">Final Review Report</w:t>
      </w:r>
    </w:p>
    <w:p>
      <w:pPr>
        <w:spacing w:after="120"/>
        <w:jc w:val="center"/>
      </w:pPr>
      <w:r>
        <w:rPr>
          <w:sz w:val="22"/>
          <w:szCs w:val="22"/>
        </w:rPr>
        <w:t xml:space="preserve">Submitted by</w:t>
      </w:r>
    </w:p>
    <w:p>
      <w:pPr>
        <w:spacing w:after="500"/>
        <w:jc w:val="center"/>
      </w:pPr>
      <w:r>
        <w:rPr>
          <w:b/>
          <w:bCs/>
          <w:sz w:val="24"/>
          <w:szCs w:val="24"/>
        </w:rPr>
        <w:t xml:space="preserve">[Student Name(s)]</w:t>
      </w:r>
    </w:p>
    <w:p>
      <w:pPr>
        <w:spacing w:after="120"/>
        <w:jc w:val="center"/>
      </w:pPr>
      <w:r>
        <w:rPr>
          <w:sz w:val="22"/>
          <w:szCs w:val="22"/>
        </w:rPr>
        <w:t xml:space="preserve">Under the guidance of</w:t>
      </w:r>
    </w:p>
    <w:p>
      <w:pPr>
        <w:spacing w:after="800"/>
        <w:jc w:val="center"/>
      </w:pPr>
      <w:r>
        <w:rPr>
          <w:b/>
          <w:bCs/>
          <w:sz w:val="24"/>
          <w:szCs w:val="24"/>
        </w:rPr>
        <w:t xml:space="preserve">[Guide Name]</w:t>
      </w:r>
    </w:p>
    <w:p>
      <w:pPr>
        <w:spacing w:after="120"/>
        <w:jc w:val="center"/>
      </w:pPr>
      <w:r>
        <w:rPr>
          <w:sz w:val="22"/>
          <w:szCs w:val="22"/>
        </w:rPr>
        <w:t xml:space="preserve">[College / University]</w:t>
      </w:r>
    </w:p>
    <w:p>
      <w:pPr>
        <w:spacing w:after="120"/>
        <w:jc w:val="center"/>
      </w:pPr>
      <w:r>
        <w:rPr>
          <w:sz w:val="22"/>
          <w:szCs w:val="22"/>
        </w:rPr>
        <w:t xml:space="preserve">[Academic Year]</w:t>
      </w:r>
    </w:p>
    <w:p>
      <w:r>
        <w:br w:type="page"/>
      </w:r>
    </w:p>
    <w:p>
      <w:pPr>
        <w:pStyle w:val="Heading1"/>
        <w:spacing w:after="160" w:before="320"/>
      </w:pPr>
      <w:r>
        <w:t xml:space="preserve">Abstract</w:t>
      </w:r>
    </w:p>
    <w:p>
      <w:pPr>
        <w:spacing w:after="160" w:line="276"/>
        <w:jc w:val="both"/>
      </w:pPr>
      <w:r>
        <w:rPr>
          <w:b w:val="false"/>
          <w:bCs w:val="false"/>
          <w:i w:val="false"/>
          <w:iCs w:val="false"/>
        </w:rPr>
        <w:t xml:space="preserve">On-demand worker marketplaces that connect customers with independent service providers — plumbers, electricians, tutors, cleaners, and similar trades — commonly treat the database as a passive record store, pushing all matching logic into the application tier. This project takes a deliberately different architectural position: the relational database is treated as an active participant in a filter → spatial-query → multi-attribute-rank → allocate → feedback pipeline, implemented as PostgreSQL/PostGIS logic (stored functions, a transactional allocation procedure, triggers, materialized views, and an exclusion constraint that prevents double-booking at the database level) orchestrated by a Spring Boot service layer that calls into this logic rather than reimplementing it in Java.</w:t>
      </w:r>
    </w:p>
    <w:p>
      <w:pPr>
        <w:spacing w:after="160" w:line="276"/>
        <w:jc w:val="both"/>
      </w:pPr>
      <w:r>
        <w:rPr>
          <w:b w:val="false"/>
          <w:bCs w:val="false"/>
          <w:i w:val="false"/>
          <w:iCs w:val="false"/>
        </w:rPr>
        <w:t xml:space="preserve">A complete full-stack system was designed, implemented, and verified end-to-end against a live PostgreSQL 16 / PostGIS instance: a Spring Boot 4 REST API, a React single-page application with role-based customer, worker, and admin views, stateless JWT authentication, a real Razorpay payment integration exercised against a live sandbox account, and an administrative analytics panel. Two experimental studies were then run against the completed, working system rather than a simulation. A five-scale query-optimization benchmark (1,000 to 100,000 workers) compared indexed and non-indexed candidate retrieval and found that a spatial index’s benefit is access-pattern-dependent: it delivers a growing, scale-dependent speedup (up to 2.70× at 100,000 workers) for a genuine “search outward from a point” query, but provides no measurable benefit for a differently-ordered query whose join plan reaches location only after other filters have already narrowed the candidate set. A six-arm allocation-strategy comparison (random, nearest-worker, rating-only, a two-factor weighted heuristic, a traditional Java filter-chain allocator, and the proposed database-resident multi-attribute allocator) was then run at three clean scales (57, 155, and 305 eligible workers) after discovering and correcting a data-accumulation flaw in the evaluation harness itself.</w:t>
      </w:r>
    </w:p>
    <w:p>
      <w:pPr>
        <w:spacing w:after="160" w:line="276"/>
        <w:jc w:val="both"/>
      </w:pPr>
      <w:r>
        <w:rPr>
          <w:b w:val="false"/>
          <w:bCs w:val="false"/>
          <w:i w:val="false"/>
          <w:iCs w:val="false"/>
        </w:rPr>
        <w:t xml:space="preserve">The proposed allocator achieved the highest average matching score at every scale, and a Java-side N+1 query pattern in the traditional baseline degraded far worse with scale (up to roughly 65× slower than any of the other five strategies at the largest scale tested) than either the proposed database-side scoring approach or the simpler in-memory heuristics. The study also surfaces two findings that are reported honestly rather than smoothed over: the proposed allocator trades average travel distance for composite match quality rather than improving both simultaneously, and its quality advantage comes with a measurable worker-utilization fairness cost that is, notably, less severe than a naive single-factor “always pick the highest-rated worker” heuristic’s. Together, the implemented system and the two evaluation studies support keeping allocation-critical logic inside the database rather than the application layer, while identifying concrete, evidence-based tradeoffs and directions for future refinement.</w:t>
      </w:r>
    </w:p>
    <w:p>
      <w:pPr>
        <w:pStyle w:val="Heading1"/>
        <w:spacing w:after="160" w:before="320"/>
      </w:pPr>
      <w:r>
        <w:t xml:space="preserve">Introduction</w:t>
      </w:r>
    </w:p>
    <w:p>
      <w:pPr>
        <w:spacing w:after="160" w:line="276"/>
        <w:jc w:val="both"/>
      </w:pPr>
      <w:r>
        <w:rPr>
          <w:b w:val="false"/>
          <w:bCs w:val="false"/>
          <w:i w:val="false"/>
          <w:iCs w:val="false"/>
        </w:rPr>
        <w:t xml:space="preserve">The on-demand service economy — platforms that connect customers who need a task performed with independent workers who can perform it — has grown rapidly across categories such as home repair, tutoring, cleaning, and personal training. The central technical problem every such platform must solve is matching: given a customer’s request and a pool of available workers, which worker should be assigned, and how quickly and fairly can that decision be made as the platform scales?</w:t>
      </w:r>
    </w:p>
    <w:p>
      <w:pPr>
        <w:spacing w:after="160" w:line="276"/>
        <w:jc w:val="both"/>
      </w:pPr>
      <w:r>
        <w:rPr>
          <w:b w:val="false"/>
          <w:bCs w:val="false"/>
          <w:i w:val="false"/>
          <w:iCs w:val="false"/>
        </w:rPr>
        <w:t xml:space="preserve">A large share of existing systems, including many student and early-stage commercial implementations, answer this question with the simplest possible rule — first available worker, or nearest worker by straight-line distance — and implement that rule entirely inside the application layer, treating the relational database purely as a place to store rows. This has two consequences worth taking seriously. First, it discards a genuine opportunity: a relational database management system already provides transactional guarantees, constraint enforcement, indexing, and query optimization machinery that is well suited to exactly this kind of filter-then-rank workload, and pushing the logic into Java code means re-deriving concurrency safety and search efficiency that the database could otherwise provide directly. Second, it makes the matching logic itself hard to reason about and to improve, since it is scattered across service classes rather than expressed as a small number of well-defined, testable database objects.</w:t>
      </w:r>
    </w:p>
    <w:p>
      <w:pPr>
        <w:spacing w:after="160" w:line="276"/>
        <w:jc w:val="both"/>
      </w:pPr>
      <w:r>
        <w:rPr>
          <w:b w:val="false"/>
          <w:bCs w:val="false"/>
          <w:i w:val="false"/>
          <w:iCs w:val="false"/>
        </w:rPr>
        <w:t xml:space="preserve">This project takes the opposite position and builds a system to test it empirically rather than merely assert it. The database is designed as an active participant in a five-stage pipeline — candidate filtering, spatial querying, multi-attribute scoring, transactional allocation, and feedback capture — implemented as PL/pgSQL functions, a stored allocation procedure, triggers, and a materialized view, with an exclusion constraint enforcing the no-double-booking invariant at the database level rather than in application code. A Spring Boot and React application is then built around this database layer, deliberately restricted to orchestration, presentation, authentication, and payment concerns so that the allocation-critical logic stays exactly where the architectural thesis says it should.</w:t>
      </w:r>
    </w:p>
    <w:p>
      <w:pPr>
        <w:spacing w:after="160" w:line="276"/>
        <w:jc w:val="both"/>
      </w:pPr>
      <w:r>
        <w:rPr>
          <w:b w:val="false"/>
          <w:bCs w:val="false"/>
          <w:i w:val="false"/>
          <w:iCs w:val="false"/>
        </w:rPr>
        <w:t xml:space="preserve">The specific objectives of this project are: (1) to design and implement a relational schema and a database-resident allocation and scoring pipeline for an on-demand worker marketplace, covering the complete booking lifecycle from request through payment and review; (2) to build a full production-shaped application — REST API, role-based single-page frontend, authentication, real payment gateway integration, and an administrative panel — on top of that database layer without relocating its intelligence into Java; (3) to empirically evaluate how query-optimization techniques, specifically spatial indexing, affect candidate-retrieval performance as the worker population scales from one thousand to one hundred thousand; and (4) to empirically compare the proposed multi-attribute allocator against a faithfully implemented traditional-system baseline and four additional allocation heuristics drawn from the literature, across multiple scales, using a consistent set of quality, efficiency, and fairness metrics.</w:t>
      </w:r>
    </w:p>
    <w:p>
      <w:pPr>
        <w:spacing w:after="160" w:line="276"/>
        <w:jc w:val="both"/>
      </w:pPr>
      <w:r>
        <w:rPr>
          <w:b w:val="false"/>
          <w:bCs w:val="false"/>
          <w:i w:val="false"/>
          <w:iCs w:val="false"/>
        </w:rPr>
        <w:t xml:space="preserve">The remainder of this report is organized as follows. The Literature Review surveys fourteen papers spanning spatial-crowdsourcing task assignment, spatial query theory, and query optimization, and identifies the specific research gap this project addresses. The Proposed System section describes the system architecture, functional modules, database-resident intelligence, query-optimization module, application layer, and technology stack. The Existing System section characterizes the class of systems this project improves upon. The Implementation Summary describes what was actually built and verified. The Results and Findings section reports both experimental studies in full, including negative and nuanced results. The report closes with a Conclusion and Future Work section.</w:t>
      </w:r>
    </w:p>
    <w:p>
      <w:pPr>
        <w:pStyle w:val="Heading1"/>
        <w:spacing w:after="160" w:before="320"/>
      </w:pPr>
      <w:r>
        <w:t xml:space="preserve">Literature Review</w:t>
      </w:r>
    </w:p>
    <w:p>
      <w:pPr>
        <w:spacing w:after="160" w:line="276"/>
        <w:jc w:val="both"/>
      </w:pPr>
      <w:r>
        <w:rPr>
          <w:b w:val="false"/>
          <w:bCs w:val="false"/>
          <w:i w:val="false"/>
          <w:iCs w:val="false"/>
        </w:rPr>
        <w:t xml:space="preserve">Fourteen distinct papers (fifteen files supplied, two of which were byte-identical duplicates) were read in full and mapped against the allocation engine and schema design of this project. They are organized below into four groups: task/worker allocation algorithms, spatial query theory, query optimization and database internals, and a closing synthesis that connects the survey to this project’s specific research gap.</w:t>
      </w:r>
    </w:p>
    <w:p>
      <w:pPr>
        <w:pStyle w:val="Heading2"/>
        <w:spacing w:after="120" w:before="240"/>
      </w:pPr>
      <w:r>
        <w:t xml:space="preserve">A. Task and worker allocation algorithms (spatial crowdsourcing)</w:t>
      </w:r>
    </w:p>
    <w:p>
      <w:pPr>
        <w:spacing w:after="160" w:line="276"/>
        <w:jc w:val="both"/>
      </w:pPr>
      <w:r>
        <w:rPr>
          <w:b w:val="false"/>
          <w:bCs w:val="false"/>
          <w:i w:val="false"/>
          <w:iCs w:val="false"/>
        </w:rPr>
        <w:t xml:space="preserve">Li et al. (Security and Communication Networks, 2021) propose a weighted-sum multi-attribute decision-making model for task assignment, methodologically the closest prior work to this project’s own scoring function; it confirms that weighted-linear scoring is a formally recognized and computationally cheap approach, and that per-task-type weight profiles can outperform a single global weight vector.</w:t>
      </w:r>
    </w:p>
    <w:p>
      <w:pPr>
        <w:spacing w:after="160" w:line="276"/>
        <w:jc w:val="both"/>
      </w:pPr>
      <w:r>
        <w:rPr>
          <w:b w:val="false"/>
          <w:bCs w:val="false"/>
          <w:i w:val="false"/>
          <w:iCs w:val="false"/>
        </w:rPr>
        <w:t xml:space="preserve">Samanta, Ghosh and Das (SSRN preprint, 2024) present the single most directly transplantable idea: a utility function combining a Bayesian-smoothed reputation score, willingness, and skill-overlap, together with a “potential level” aging mechanism that prevents capable but low-review-count workers from being permanently starved of work — a real risk in any rating-driven allocator.</w:t>
      </w:r>
    </w:p>
    <w:p>
      <w:pPr>
        <w:spacing w:after="160" w:line="276"/>
        <w:jc w:val="both"/>
      </w:pPr>
      <w:r>
        <w:rPr>
          <w:b w:val="false"/>
          <w:bCs w:val="false"/>
          <w:i w:val="false"/>
          <w:iCs w:val="false"/>
        </w:rPr>
        <w:t xml:space="preserve">Yao, Yang and Xu (IEEE Transactions on Services Computing, 2023) formalize task assignment under prerequisite dependencies and online arrival, proving the problem NP-hard and proposing near-optimal randomized algorithms; the relevant takeaway for this project is a lightweight dependency-table extension for multi-step jobs, not the online-algorithm machinery itself.</w:t>
      </w:r>
    </w:p>
    <w:p>
      <w:pPr>
        <w:spacing w:after="160" w:line="276"/>
        <w:jc w:val="both"/>
      </w:pPr>
      <w:r>
        <w:rPr>
          <w:b w:val="false"/>
          <w:bCs w:val="false"/>
          <w:i w:val="false"/>
          <w:iCs w:val="false"/>
        </w:rPr>
        <w:t xml:space="preserve">Ren et al. (IEEE Transactions on Knowledge and Data Engineering, 2026) address cross-platform gig-work outsourcing using optimal bipartite matching, greedy heuristics, and game-theoretic methods; while cross-platform federation is out of scope here, their shortage-degree metric is a more principled alternative to flat distance decay and is noted as a future refinement.</w:t>
      </w:r>
    </w:p>
    <w:p>
      <w:pPr>
        <w:spacing w:after="160" w:line="276"/>
        <w:jc w:val="both"/>
      </w:pPr>
      <w:r>
        <w:rPr>
          <w:b w:val="false"/>
          <w:bCs w:val="false"/>
          <w:i w:val="false"/>
          <w:iCs w:val="false"/>
        </w:rPr>
        <w:t xml:space="preserve">Zhao et al. (VLDB Journal, 2024) target coalition-based task assignment for jobs requiring multiple workers simultaneously, with a Shapley-value-style fairness layer for splitting reward among coalition members; this applies only if the platform is extended to support crew jobs, and is recorded as future scope.</w:t>
      </w:r>
    </w:p>
    <w:p>
      <w:pPr>
        <w:spacing w:after="160" w:line="276"/>
        <w:jc w:val="both"/>
      </w:pPr>
      <w:r>
        <w:rPr>
          <w:b w:val="false"/>
          <w:bCs w:val="false"/>
          <w:i w:val="false"/>
          <w:iCs w:val="false"/>
        </w:rPr>
        <w:t xml:space="preserve">Li, Zhao, Zhou and Zheng (Data Science and Engineering, 2020 — the duplicate pair in the supplied set) learn worker preference for task categories via graph embeddings; the deep-learning machinery is out of scope for this project, but the underlying idea — that a worker’s historical acceptance rate by service type is a cheap, non-neural proxy for the same signal — is a viable lightweight addition.</w:t>
      </w:r>
    </w:p>
    <w:p>
      <w:pPr>
        <w:spacing w:after="160" w:line="276"/>
        <w:jc w:val="both"/>
      </w:pPr>
      <w:r>
        <w:rPr>
          <w:b w:val="false"/>
          <w:bCs w:val="false"/>
          <w:i w:val="false"/>
          <w:iCs w:val="false"/>
        </w:rPr>
        <w:t xml:space="preserve">Pan et al. (EURASIP Journal on Wireless Communications and Networking, 2021) model task–worker–workplace triples and solve batched assignment via a sparsified Hungarian algorithm, beating plain greedy allocation by 24.8–33% on travel cost; their clean utility formulation (reward times skill divided by distance) is a candidate simplification of this project’s multi-term scoring function.</w:t>
      </w:r>
    </w:p>
    <w:p>
      <w:pPr>
        <w:spacing w:after="160" w:line="276"/>
        <w:jc w:val="both"/>
      </w:pPr>
      <w:r>
        <w:rPr>
          <w:b w:val="false"/>
          <w:bCs w:val="false"/>
          <w:i w:val="false"/>
          <w:iCs w:val="false"/>
        </w:rPr>
        <w:t xml:space="preserve">Yucel, Bulut and Yuksel (Springer book chapter, 2023) survey stable matching (Gale–Shapley) for mobile crowdsensing and cite evidence that ignoring worker preference, as a pure greedy best-first allocator does, causes repeated non-compliance and compounding utility loss over time — a genuinely relevant risk for any real deployment of the system built here, and recorded as a theoretically sounder future alternative once worker-side preference data is collected.</w:t>
      </w:r>
    </w:p>
    <w:p>
      <w:pPr>
        <w:spacing w:after="160" w:line="276"/>
        <w:jc w:val="both"/>
      </w:pPr>
      <w:r>
        <w:rPr>
          <w:b w:val="false"/>
          <w:bCs w:val="false"/>
          <w:i w:val="false"/>
          <w:iCs w:val="false"/>
        </w:rPr>
        <w:t xml:space="preserve">He, Xin, Hou and Yang (Electronics, MDPI, 2023) propose privacy-preserving task assignment using homomorphic encryption so that neither platform nor requester learns raw location data; the underlying matching rule is a simple nearest-distance comparison, so the contribution relevant here is conceptual (prioritizing workers already en route to nearby compatible jobs) rather than algorithmic.</w:t>
      </w:r>
    </w:p>
    <w:p>
      <w:pPr>
        <w:spacing w:after="160" w:line="276"/>
        <w:jc w:val="both"/>
      </w:pPr>
      <w:r>
        <w:rPr>
          <w:b w:val="false"/>
          <w:bCs w:val="false"/>
          <w:i w:val="false"/>
          <w:iCs w:val="false"/>
        </w:rPr>
        <w:t xml:space="preserve">Peng et al. (IEEE Transactions on Network Science and Engineering, 2022) combine a deep sequence model for demand forecasting with a blockchain-based privacy layer; the heavy machinery does not fit a single-trust-boundary relational system, but demand-driven proactive allocation is recorded as a lightweight, moving-average-based future-work item.</w:t>
      </w:r>
    </w:p>
    <w:p>
      <w:pPr>
        <w:pStyle w:val="Heading2"/>
        <w:spacing w:after="120" w:before="240"/>
      </w:pPr>
      <w:r>
        <w:t xml:space="preserve">B. Spatial query theory</w:t>
      </w:r>
    </w:p>
    <w:p>
      <w:pPr>
        <w:spacing w:after="160" w:line="276"/>
        <w:jc w:val="both"/>
      </w:pPr>
      <w:r>
        <w:rPr>
          <w:b w:val="false"/>
          <w:bCs w:val="false"/>
          <w:i w:val="false"/>
          <w:iCs w:val="false"/>
        </w:rPr>
        <w:t xml:space="preserve">Carniel (Geo-spatial Information Science, 2024) provides a comprehensive taxonomy of spatial query types — topological, metric, direction-based, and hybrid — with formal correspondence proofs between them. This is the most directly actionable non-allocation paper for this project’s schema, since the current worker-matching query is the taxonomy’s most basic case, a plain k-nearest-neighbour query. It motivates three concrete extensions identified as future work: reverse k-nearest-neighbour queries for a worker coverage dashboard, containment queries against a worker’s actual service-area polygon rather than a distance threshold, and group k-nearest-neighbour queries for multi-stop bookings.</w:t>
      </w:r>
    </w:p>
    <w:p>
      <w:pPr>
        <w:pStyle w:val="Heading2"/>
        <w:spacing w:after="120" w:before="240"/>
      </w:pPr>
      <w:r>
        <w:t xml:space="preserve">C. Query optimization and database internals</w:t>
      </w:r>
    </w:p>
    <w:p>
      <w:pPr>
        <w:spacing w:after="160" w:line="276"/>
        <w:jc w:val="both"/>
      </w:pPr>
      <w:r>
        <w:rPr>
          <w:b w:val="false"/>
          <w:bCs w:val="false"/>
          <w:i w:val="false"/>
          <w:iCs w:val="false"/>
        </w:rPr>
        <w:t xml:space="preserve">Panwar (International Journal of Computer Trends and Technology, 2024) surveys machine-learning-based query optimization at a position-paper level, reporting large improvement figures without a reproducible methodology; it is used here only as motivating context for the future-work discussion of adaptive, self-tuning indexing, not as a technical source to implement directly.</w:t>
      </w:r>
    </w:p>
    <w:p>
      <w:pPr>
        <w:spacing w:after="160" w:line="276"/>
        <w:jc w:val="both"/>
      </w:pPr>
      <w:r>
        <w:rPr>
          <w:b w:val="false"/>
          <w:bCs w:val="false"/>
          <w:i w:val="false"/>
          <w:iCs w:val="false"/>
        </w:rPr>
        <w:t xml:space="preserve">Ding, Zhu and Zhou (Foundations and Trends in Databases, 2023) present a rigorous survey of learned query optimizers, structured around replacing cardinality estimation, cost modeling, and plan enumeration with learned models. Its learning-to-rank framing (the “Lero” approach) suggests a concrete, low-effort future extension for this project: a simple pairwise comparator trained on historical “which of two candidates actually worked out better” outcomes, refining the current fixed scoring weights over time.</w:t>
      </w:r>
    </w:p>
    <w:p>
      <w:pPr>
        <w:spacing w:after="160" w:line="276"/>
        <w:jc w:val="both"/>
      </w:pPr>
      <w:r>
        <w:rPr>
          <w:b w:val="false"/>
          <w:bCs w:val="false"/>
          <w:i w:val="false"/>
          <w:iCs w:val="false"/>
        </w:rPr>
        <w:t xml:space="preserve">Zinchenko and Ponomaryov (arXiv preprint, 2025) unify view selection, index selection, and plan caching under one abstraction and prove a new complexity result. Its most directly applicable observation for this project is that materialized-view maintenance cost is non-monotonic — a caution against assuming that refreshing the worker-statistics materialized view more frequently is automatically better, without measuring the actual maintenance cost.</w:t>
      </w:r>
    </w:p>
    <w:p>
      <w:pPr>
        <w:pStyle w:val="Heading2"/>
        <w:spacing w:after="120" w:before="240"/>
      </w:pPr>
      <w:r>
        <w:t xml:space="preserve">D. Synthesis and research gap</w:t>
      </w:r>
    </w:p>
    <w:p>
      <w:pPr>
        <w:spacing w:after="160" w:line="276"/>
        <w:jc w:val="both"/>
      </w:pPr>
      <w:r>
        <w:rPr>
          <w:b w:val="false"/>
          <w:bCs w:val="false"/>
          <w:i w:val="false"/>
          <w:iCs w:val="false"/>
        </w:rPr>
        <w:t xml:space="preserve">No single paper in this survey combines all of the elements this project integrates: database-driven spatial, skill, and availability candidate filtering; formally justified multi-attribute scoring; a reputation model robust to low review counts; concurrency-safe assignment under race conditions; and empirical, plan-level performance evaluation of the retrieval pipeline itself applied specifically to a worker-matching workload. The allocation-algorithm papers (group A) address matching quality in isolation from database performance; the query-optimization papers (group C) address database internals in isolation from any worker-matching workload. That integration — not any single technique in isolation — is the specific contribution this project targets, and the working PostgreSQL implementation described in the next section is the evidence that the integration is practically achievable, not merely a proposal.</w:t>
      </w:r>
    </w:p>
    <w:p>
      <w:pPr>
        <w:spacing w:after="160" w:line="276"/>
        <w:jc w:val="both"/>
      </w:pPr>
      <w:r>
        <w:rPr>
          <w:b w:val="false"/>
          <w:bCs w:val="false"/>
          <w:i w:val="false"/>
          <w:iCs w:val="false"/>
        </w:rPr>
        <w:t xml:space="preserve">This leads to three research questions that the Results and Findings section answers empirically: (1) does multi-attribute, weighted allocation improve assignment quality over distance-only or rating-only baselines; (2) does spatial indexing measurably reduce candidate-retrieval query cost as the worker population scales; and (3) how does allocation-strategy choice affect fairness — the distribution of work across the eligible worker pool — not just average match quality.</w:t>
      </w:r>
    </w:p>
    <w:p>
      <w:pPr>
        <w:pStyle w:val="Heading1"/>
        <w:spacing w:after="160" w:before="320"/>
      </w:pPr>
      <w:r>
        <w:t xml:space="preserve">Proposed System</w:t>
      </w:r>
    </w:p>
    <w:p>
      <w:pPr>
        <w:spacing w:after="160" w:line="276"/>
        <w:jc w:val="both"/>
      </w:pPr>
      <w:r>
        <w:rPr>
          <w:b w:val="false"/>
          <w:bCs w:val="false"/>
          <w:i w:val="false"/>
          <w:iCs w:val="false"/>
        </w:rPr>
        <w:t xml:space="preserve">The proposed system is a three-tier application built around the architectural principle stated in the Introduction: allocation-critical logic remains inside PostgreSQL, and the application layer orchestrates, presents, authenticates, and processes payment without reimplementing that logic.</w:t>
      </w:r>
    </w:p>
    <w:p>
      <w:pPr>
        <w:pStyle w:val="Heading2"/>
        <w:spacing w:after="120" w:before="240"/>
      </w:pPr>
      <w:r>
        <w:t xml:space="preserve">System Architecture</w:t>
      </w:r>
    </w:p>
    <w:p>
      <w:pPr>
        <w:spacing w:after="160" w:line="276"/>
        <w:jc w:val="both"/>
      </w:pPr>
      <w:r>
        <w:rPr>
          <w:b w:val="false"/>
          <w:bCs w:val="false"/>
          <w:i w:val="false"/>
          <w:iCs w:val="false"/>
        </w:rPr>
        <w:t xml:space="preserve">The presentation tier is a single React single-page application with role-based views for customer, worker, and administrator roles, gated by a JSON Web Token obtained at login — one codebase and one deployment, not three separate applications. The application tier is a Spring Boot service exposing a REST API: controllers delegate to orchestration services, which call into the database layer through Spring Data JPA repository methods, native queries, and direct JDBC calls to stored functions and procedures; Spring Security enforces stateless, role-based access control using the JWT issued at login. The data tier is PostgreSQL 16 with the PostGIS extension enabled, holding the schema, indexes, views, materialized views, triggers, and the PL/pgSQL functions and procedure described below. Communication between tiers uses HTTPS/REST with a JWT bearer token between the browser and Spring Boot, and JDBC between Spring Boot and PostgreSQL.</w:t>
      </w:r>
    </w:p>
    <w:p>
      <w:pPr>
        <w:pStyle w:val="Heading2"/>
        <w:spacing w:after="120" w:before="240"/>
      </w:pPr>
      <w:r>
        <w:t xml:space="preserve">System Modules</w:t>
      </w:r>
    </w:p>
    <w:p>
      <w:pPr>
        <w:spacing w:after="160" w:line="276"/>
        <w:jc w:val="both"/>
      </w:pPr>
      <w:r>
        <w:rPr>
          <w:b w:val="false"/>
          <w:bCs w:val="false"/>
          <w:i w:val="false"/>
          <w:iCs w:val="false"/>
        </w:rPr>
        <w:t xml:space="preserve">The system is organized into thirteen functional modules, mapped directly onto the schema and the allocation pipeline rather than assumed generically: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00"/>
      </w:tblGrid>
      <w:tr>
        <w:trPr>
          <w:tblHeader/>
        </w:trPr>
        <w:tc>
          <w:tcPr>
            <w:tcW w:type="dxa" w:w="500"/>
            <w:shd w:fill="D9E2F3" w:val="clear"/>
            <w:tcMar>
              <w:top w:type="dxa" w:w="60"/>
              <w:left w:type="dxa" w:w="100"/>
              <w:bottom w:type="dxa" w:w="60"/>
              <w:right w:type="dxa" w:w="100"/>
            </w:tcMar>
            <w:vAlign w:val="center"/>
          </w:tcPr>
          <w:p>
            <w:pPr>
              <w:jc w:val="center"/>
            </w:pPr>
            <w:r>
              <w:rPr>
                <w:b/>
                <w:bCs/>
                <w:sz w:val="19"/>
                <w:szCs w:val="19"/>
              </w:rPr>
              <w:t xml:space="preserve">#</w:t>
            </w:r>
          </w:p>
        </w:tc>
        <w:tc>
          <w:tcPr>
            <w:tcW w:type="dxa" w:w="2800"/>
            <w:shd w:fill="D9E2F3" w:val="clear"/>
            <w:tcMar>
              <w:top w:type="dxa" w:w="60"/>
              <w:left w:type="dxa" w:w="100"/>
              <w:bottom w:type="dxa" w:w="60"/>
              <w:right w:type="dxa" w:w="100"/>
            </w:tcMar>
            <w:vAlign w:val="center"/>
          </w:tcPr>
          <w:p>
            <w:pPr>
              <w:jc w:val="center"/>
            </w:pPr>
            <w:r>
              <w:rPr>
                <w:b/>
                <w:bCs/>
                <w:sz w:val="19"/>
                <w:szCs w:val="19"/>
              </w:rPr>
              <w:t xml:space="preserve">Module</w:t>
            </w:r>
          </w:p>
        </w:tc>
        <w:tc>
          <w:tcPr>
            <w:tcW w:type="dxa" w:w="6200"/>
            <w:shd w:fill="D9E2F3" w:val="clear"/>
            <w:tcMar>
              <w:top w:type="dxa" w:w="60"/>
              <w:left w:type="dxa" w:w="100"/>
              <w:bottom w:type="dxa" w:w="60"/>
              <w:right w:type="dxa" w:w="100"/>
            </w:tcMar>
            <w:vAlign w:val="center"/>
          </w:tcPr>
          <w:p>
            <w:pPr>
              <w:jc w:val="center"/>
            </w:pPr>
            <w:r>
              <w:rPr>
                <w:b/>
                <w:bCs/>
                <w:sz w:val="19"/>
                <w:szCs w:val="19"/>
              </w:rPr>
              <w:t xml:space="preserve">Main Purpose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w:t>
            </w:r>
          </w:p>
        </w:tc>
        <w:tc>
          <w:tcPr>
            <w:tcW w:type="dxa" w:w="2800"/>
            <w:tcMar>
              <w:top w:type="dxa" w:w="60"/>
              <w:left w:type="dxa" w:w="100"/>
              <w:bottom w:type="dxa" w:w="60"/>
              <w:right w:type="dxa" w:w="100"/>
            </w:tcMar>
            <w:vAlign w:val="center"/>
          </w:tcPr>
          <w:p>
            <w:pPr>
              <w:jc w:val="center"/>
            </w:pPr>
            <w:r>
              <w:rPr>
                <w:b w:val="false"/>
                <w:bCs w:val="false"/>
                <w:sz w:val="19"/>
                <w:szCs w:val="19"/>
              </w:rPr>
              <w:t xml:space="preserve">User &amp; Role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Registration, login, authentication, and authorization for the Customer, Worker, and Admin roles.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2</w:t>
            </w:r>
          </w:p>
        </w:tc>
        <w:tc>
          <w:tcPr>
            <w:tcW w:type="dxa" w:w="2800"/>
            <w:tcMar>
              <w:top w:type="dxa" w:w="60"/>
              <w:left w:type="dxa" w:w="100"/>
              <w:bottom w:type="dxa" w:w="60"/>
              <w:right w:type="dxa" w:w="100"/>
            </w:tcMar>
            <w:vAlign w:val="center"/>
          </w:tcPr>
          <w:p>
            <w:pPr>
              <w:jc w:val="center"/>
            </w:pPr>
            <w:r>
              <w:rPr>
                <w:b w:val="false"/>
                <w:bCs w:val="false"/>
                <w:sz w:val="19"/>
                <w:szCs w:val="19"/>
              </w:rPr>
              <w:t xml:space="preserve">Customer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Customer profile and service-request activity.</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3</w:t>
            </w:r>
          </w:p>
        </w:tc>
        <w:tc>
          <w:tcPr>
            <w:tcW w:type="dxa" w:w="2800"/>
            <w:tcMar>
              <w:top w:type="dxa" w:w="60"/>
              <w:left w:type="dxa" w:w="100"/>
              <w:bottom w:type="dxa" w:w="60"/>
              <w:right w:type="dxa" w:w="100"/>
            </w:tcMar>
            <w:vAlign w:val="center"/>
          </w:tcPr>
          <w:p>
            <w:pPr>
              <w:jc w:val="center"/>
            </w:pPr>
            <w:r>
              <w:rPr>
                <w:b w:val="false"/>
                <w:bCs w:val="false"/>
                <w:sz w:val="19"/>
                <w:szCs w:val="19"/>
              </w:rPr>
              <w:t xml:space="preserve">Worker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Worker profile, experience, skills, rates, and stored location.</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4</w:t>
            </w:r>
          </w:p>
        </w:tc>
        <w:tc>
          <w:tcPr>
            <w:tcW w:type="dxa" w:w="2800"/>
            <w:tcMar>
              <w:top w:type="dxa" w:w="60"/>
              <w:left w:type="dxa" w:w="100"/>
              <w:bottom w:type="dxa" w:w="60"/>
              <w:right w:type="dxa" w:w="100"/>
            </w:tcMar>
            <w:vAlign w:val="center"/>
          </w:tcPr>
          <w:p>
            <w:pPr>
              <w:jc w:val="center"/>
            </w:pPr>
            <w:r>
              <w:rPr>
                <w:b w:val="false"/>
                <w:bCs w:val="false"/>
                <w:sz w:val="19"/>
                <w:szCs w:val="19"/>
              </w:rPr>
              <w:t xml:space="preserve">Skill &amp; Service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Manage services offered and the skills associated with each worker.</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5</w:t>
            </w:r>
          </w:p>
        </w:tc>
        <w:tc>
          <w:tcPr>
            <w:tcW w:type="dxa" w:w="2800"/>
            <w:tcMar>
              <w:top w:type="dxa" w:w="60"/>
              <w:left w:type="dxa" w:w="100"/>
              <w:bottom w:type="dxa" w:w="60"/>
              <w:right w:type="dxa" w:w="100"/>
            </w:tcMar>
            <w:vAlign w:val="center"/>
          </w:tcPr>
          <w:p>
            <w:pPr>
              <w:jc w:val="center"/>
            </w:pPr>
            <w:r>
              <w:rPr>
                <w:b w:val="false"/>
                <w:bCs w:val="false"/>
                <w:sz w:val="19"/>
                <w:szCs w:val="19"/>
              </w:rPr>
              <w:t xml:space="preserve">Service Request / Task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Create and manage customer tasks and their requirements.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6</w:t>
            </w:r>
          </w:p>
        </w:tc>
        <w:tc>
          <w:tcPr>
            <w:tcW w:type="dxa" w:w="2800"/>
            <w:tcMar>
              <w:top w:type="dxa" w:w="60"/>
              <w:left w:type="dxa" w:w="100"/>
              <w:bottom w:type="dxa" w:w="60"/>
              <w:right w:type="dxa" w:w="100"/>
            </w:tcMar>
            <w:vAlign w:val="center"/>
          </w:tcPr>
          <w:p>
            <w:pPr>
              <w:jc w:val="center"/>
            </w:pPr>
            <w:r>
              <w:rPr>
                <w:b w:val="false"/>
                <w:bCs w:val="false"/>
                <w:sz w:val="19"/>
                <w:szCs w:val="19"/>
              </w:rPr>
              <w:t xml:space="preserve">Location &amp; Spatial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Geocode, store, and spatially query worker and task locations (PostGIS containment and k-nearest-neighbour queries).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7</w:t>
            </w:r>
          </w:p>
        </w:tc>
        <w:tc>
          <w:tcPr>
            <w:tcW w:type="dxa" w:w="2800"/>
            <w:tcMar>
              <w:top w:type="dxa" w:w="60"/>
              <w:left w:type="dxa" w:w="100"/>
              <w:bottom w:type="dxa" w:w="60"/>
              <w:right w:type="dxa" w:w="100"/>
            </w:tcMar>
            <w:vAlign w:val="center"/>
          </w:tcPr>
          <w:p>
            <w:pPr>
              <w:jc w:val="center"/>
            </w:pPr>
            <w:r>
              <w:rPr>
                <w:b w:val="false"/>
                <w:bCs w:val="false"/>
                <w:sz w:val="19"/>
                <w:szCs w:val="19"/>
              </w:rPr>
              <w:t xml:space="preserve">Intelligent Candidate Retrieval</w:t>
            </w:r>
          </w:p>
        </w:tc>
        <w:tc>
          <w:tcPr>
            <w:tcW w:type="dxa" w:w="6200"/>
            <w:tcMar>
              <w:top w:type="dxa" w:w="60"/>
              <w:left w:type="dxa" w:w="100"/>
              <w:bottom w:type="dxa" w:w="60"/>
              <w:right w:type="dxa" w:w="100"/>
            </w:tcMar>
            <w:vAlign w:val="center"/>
          </w:tcPr>
          <w:p>
            <w:pPr>
              <w:jc w:val="center"/>
            </w:pPr>
            <w:r>
              <w:rPr>
                <w:b w:val="false"/>
                <w:bCs w:val="false"/>
                <w:sz w:val="19"/>
                <w:szCs w:val="19"/>
              </w:rPr>
              <w:t xml:space="preserve">Filter eligible workers by skill, availability, location, and budget before scoring.</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8</w:t>
            </w:r>
          </w:p>
        </w:tc>
        <w:tc>
          <w:tcPr>
            <w:tcW w:type="dxa" w:w="2800"/>
            <w:tcMar>
              <w:top w:type="dxa" w:w="60"/>
              <w:left w:type="dxa" w:w="100"/>
              <w:bottom w:type="dxa" w:w="60"/>
              <w:right w:type="dxa" w:w="100"/>
            </w:tcMar>
            <w:vAlign w:val="center"/>
          </w:tcPr>
          <w:p>
            <w:pPr>
              <w:jc w:val="center"/>
            </w:pPr>
            <w:r>
              <w:rPr>
                <w:b w:val="false"/>
                <w:bCs w:val="false"/>
                <w:sz w:val="19"/>
                <w:szCs w:val="19"/>
              </w:rPr>
              <w:t xml:space="preserve">Multi-Attribute Matching &amp; Resource Allocation</w:t>
            </w:r>
          </w:p>
        </w:tc>
        <w:tc>
          <w:tcPr>
            <w:tcW w:type="dxa" w:w="6200"/>
            <w:tcMar>
              <w:top w:type="dxa" w:w="60"/>
              <w:left w:type="dxa" w:w="100"/>
              <w:bottom w:type="dxa" w:w="60"/>
              <w:right w:type="dxa" w:w="100"/>
            </w:tcMar>
            <w:vAlign w:val="center"/>
          </w:tcPr>
          <w:p>
            <w:pPr>
              <w:jc w:val="center"/>
            </w:pPr>
            <w:r>
              <w:rPr>
                <w:b w:val="false"/>
                <w:bCs w:val="false"/>
                <w:sz w:val="19"/>
                <w:szCs w:val="19"/>
              </w:rPr>
              <w:t xml:space="preserve">Compute the weighted match score and select the best worker.</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9</w:t>
            </w:r>
          </w:p>
        </w:tc>
        <w:tc>
          <w:tcPr>
            <w:tcW w:type="dxa" w:w="2800"/>
            <w:tcMar>
              <w:top w:type="dxa" w:w="60"/>
              <w:left w:type="dxa" w:w="100"/>
              <w:bottom w:type="dxa" w:w="60"/>
              <w:right w:type="dxa" w:w="100"/>
            </w:tcMar>
            <w:vAlign w:val="center"/>
          </w:tcPr>
          <w:p>
            <w:pPr>
              <w:jc w:val="center"/>
            </w:pPr>
            <w:r>
              <w:rPr>
                <w:b w:val="false"/>
                <w:bCs w:val="false"/>
                <w:sz w:val="19"/>
                <w:szCs w:val="19"/>
              </w:rPr>
              <w:t xml:space="preserve">Booking, Availability &amp; Workload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Booking lifecycle, availability, capacity, concurrency-safe double-booking prevention, and status notifications.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10</w:t>
            </w:r>
          </w:p>
        </w:tc>
        <w:tc>
          <w:tcPr>
            <w:tcW w:type="dxa" w:w="2800"/>
            <w:tcMar>
              <w:top w:type="dxa" w:w="60"/>
              <w:left w:type="dxa" w:w="100"/>
              <w:bottom w:type="dxa" w:w="60"/>
              <w:right w:type="dxa" w:w="100"/>
            </w:tcMar>
            <w:vAlign w:val="center"/>
          </w:tcPr>
          <w:p>
            <w:pPr>
              <w:jc w:val="center"/>
            </w:pPr>
            <w:r>
              <w:rPr>
                <w:b w:val="false"/>
                <w:bCs w:val="false"/>
                <w:sz w:val="19"/>
                <w:szCs w:val="19"/>
              </w:rPr>
              <w:t xml:space="preserve">Payment &amp; Transaction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Order creation, checkout verification, and payment history via a real payment gateway (Razorpay, sandbox mode).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11</w:t>
            </w:r>
          </w:p>
        </w:tc>
        <w:tc>
          <w:tcPr>
            <w:tcW w:type="dxa" w:w="2800"/>
            <w:tcMar>
              <w:top w:type="dxa" w:w="60"/>
              <w:left w:type="dxa" w:w="100"/>
              <w:bottom w:type="dxa" w:w="60"/>
              <w:right w:type="dxa" w:w="100"/>
            </w:tcMar>
            <w:vAlign w:val="center"/>
          </w:tcPr>
          <w:p>
            <w:pPr>
              <w:jc w:val="center"/>
            </w:pPr>
            <w:r>
              <w:rPr>
                <w:b w:val="false"/>
                <w:bCs w:val="false"/>
                <w:sz w:val="19"/>
                <w:szCs w:val="19"/>
              </w:rPr>
              <w:t xml:space="preserve">Feedback, Reputation &amp; History Management</w:t>
            </w:r>
          </w:p>
        </w:tc>
        <w:tc>
          <w:tcPr>
            <w:tcW w:type="dxa" w:w="6200"/>
            <w:tcMar>
              <w:top w:type="dxa" w:w="60"/>
              <w:left w:type="dxa" w:w="100"/>
              <w:bottom w:type="dxa" w:w="60"/>
              <w:right w:type="dxa" w:w="100"/>
            </w:tcMar>
            <w:vAlign w:val="center"/>
          </w:tcPr>
          <w:p>
            <w:pPr>
              <w:jc w:val="center"/>
            </w:pPr>
            <w:r>
              <w:rPr>
                <w:b w:val="false"/>
                <w:bCs w:val="false"/>
                <w:sz w:val="19"/>
                <w:szCs w:val="19"/>
              </w:rPr>
              <w:t xml:space="preserve">Ratings, reviews, historical allocation performance, and the audit trail.</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12</w:t>
            </w:r>
          </w:p>
        </w:tc>
        <w:tc>
          <w:tcPr>
            <w:tcW w:type="dxa" w:w="2800"/>
            <w:tcMar>
              <w:top w:type="dxa" w:w="60"/>
              <w:left w:type="dxa" w:w="100"/>
              <w:bottom w:type="dxa" w:w="60"/>
              <w:right w:type="dxa" w:w="100"/>
            </w:tcMar>
            <w:vAlign w:val="center"/>
          </w:tcPr>
          <w:p>
            <w:pPr>
              <w:jc w:val="center"/>
            </w:pPr>
            <w:r>
              <w:rPr>
                <w:b w:val="false"/>
                <w:bCs w:val="false"/>
                <w:sz w:val="19"/>
                <w:szCs w:val="19"/>
              </w:rPr>
              <w:t xml:space="preserve">Query Optimization &amp; Performance Benchmarking</w:t>
            </w:r>
          </w:p>
        </w:tc>
        <w:tc>
          <w:tcPr>
            <w:tcW w:type="dxa" w:w="6200"/>
            <w:tcMar>
              <w:top w:type="dxa" w:w="60"/>
              <w:left w:type="dxa" w:w="100"/>
              <w:bottom w:type="dxa" w:w="60"/>
              <w:right w:type="dxa" w:w="100"/>
            </w:tcMar>
            <w:vAlign w:val="center"/>
          </w:tcPr>
          <w:p>
            <w:pPr>
              <w:jc w:val="center"/>
            </w:pPr>
            <w:r>
              <w:rPr>
                <w:b w:val="false"/>
                <w:bCs w:val="false"/>
                <w:sz w:val="19"/>
                <w:szCs w:val="19"/>
              </w:rPr>
              <w:t xml:space="preserve">Database-level indexing and query-plan performance evaluation — the core benchmarking stage and the adaptive learning-based stretch stage.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13</w:t>
            </w:r>
          </w:p>
        </w:tc>
        <w:tc>
          <w:tcPr>
            <w:tcW w:type="dxa" w:w="2800"/>
            <w:tcMar>
              <w:top w:type="dxa" w:w="60"/>
              <w:left w:type="dxa" w:w="100"/>
              <w:bottom w:type="dxa" w:w="60"/>
              <w:right w:type="dxa" w:w="100"/>
            </w:tcMar>
            <w:vAlign w:val="center"/>
          </w:tcPr>
          <w:p>
            <w:pPr>
              <w:jc w:val="center"/>
            </w:pPr>
            <w:r>
              <w:rPr>
                <w:b w:val="false"/>
                <w:bCs w:val="false"/>
                <w:sz w:val="19"/>
                <w:szCs w:val="19"/>
              </w:rPr>
              <w:t xml:space="preserve">Analytics &amp; Administration</w:t>
            </w:r>
          </w:p>
        </w:tc>
        <w:tc>
          <w:tcPr>
            <w:tcW w:type="dxa" w:w="6200"/>
            <w:tcMar>
              <w:top w:type="dxa" w:w="60"/>
              <w:left w:type="dxa" w:w="100"/>
              <w:bottom w:type="dxa" w:w="60"/>
              <w:right w:type="dxa" w:w="100"/>
            </w:tcMar>
            <w:vAlign w:val="center"/>
          </w:tcPr>
          <w:p>
            <w:pPr>
              <w:jc w:val="center"/>
            </w:pPr>
            <w:r>
              <w:rPr>
                <w:b w:val="false"/>
                <w:bCs w:val="false"/>
                <w:sz w:val="19"/>
                <w:szCs w:val="19"/>
              </w:rPr>
              <w:t xml:space="preserve">Reports, dashboards, and administrative control, including user suspension/reactivation and catalog management.</w:t>
            </w:r>
          </w:p>
        </w:tc>
      </w:tr>
    </w:tbl>
    <w:p>
      <w:pPr>
        <w:spacing w:after="200"/>
      </w:pPr>
    </w:p>
    <w:p>
      <w:pPr>
        <w:pStyle w:val="Heading2"/>
        <w:spacing w:after="120" w:before="240"/>
      </w:pPr>
      <w:r>
        <w:t xml:space="preserve">Database-Resident Intelligence</w:t>
      </w:r>
    </w:p>
    <w:p>
      <w:pPr>
        <w:spacing w:after="160" w:line="276"/>
        <w:jc w:val="both"/>
      </w:pPr>
      <w:r>
        <w:rPr>
          <w:b w:val="false"/>
          <w:bCs w:val="false"/>
          <w:i w:val="false"/>
          <w:iCs w:val="false"/>
        </w:rPr>
        <w:t xml:space="preserve">The core of the proposed system is a five-stage pipeline expressed as database objects rather than application code. Given a booking, a PL/pgSQL function first filters the worker population down to an eligible candidate set by required skill, active status, availability within the requested time window, and either a hard radius or a PostGIS containment check. A second function computes, for every remaining candidate, a weighted composite score combining six normalized factors — skill match, rating, distance, current workload, price fit, and experience — with a rating factor that substitutes a neutral default for workers with no reviews yet rather than penalizing them to zero. A stored procedure then performs the actual allocation inside a single transaction: it re-checks that the booking is still pending under a row lock, selects the best-scoring candidate, and — because a concurrent request could have booked that same candidate in the interval — retries against the next-best candidate if the assignment is rejected by the database’s own exclusion constraint, which prevents any worker from being double-booked for overlapping time ranges at the constraint level rather than in application code. Every candidate considered for a booking, not only the one selected, is retained in an allocation log for later analysis. Trigger-based logic separately maintains a generic audit trail across tables and populates a notification outbox whenever a booking’s status changes or a review is submitted, which an application-layer scheduled job later drains and dispatches. A materialized view pre-aggregates per-worker rating and completed-job statistics so that the scoring function does not have to recompute them from raw rows on every request.</w:t>
      </w:r>
    </w:p>
    <w:p>
      <w:pPr>
        <w:pStyle w:val="Heading2"/>
        <w:spacing w:after="120" w:before="240"/>
      </w:pPr>
      <w:r>
        <w:t xml:space="preserve">Query Optimization Module</w:t>
      </w:r>
    </w:p>
    <w:p>
      <w:pPr>
        <w:spacing w:after="160" w:line="276"/>
        <w:jc w:val="both"/>
      </w:pPr>
      <w:r>
        <w:rPr>
          <w:b w:val="false"/>
          <w:bCs w:val="false"/>
          <w:i w:val="false"/>
          <w:iCs w:val="false"/>
        </w:rPr>
        <w:t xml:space="preserve">Query optimization is treated as a co-equal research axis of this project, not incidental infrastructure. It has two stages. The core stage — implemented and evaluated in this report — establishes a synthetic-data generation and benchmarking harness that measures candidate-retrieval query execution time, using PostgreSQL’s own query-plan analysis, at five worker-population scales with and without spatial indexing, to determine when and why indexing helps a spatial worker-matching workload. The stretch stage, recorded as future work rather than completed here, would add an adaptive, learning-based refinement of the fixed scoring weights, informed by the learning-to-rank literature discussed above.</w:t>
      </w:r>
    </w:p>
    <w:p>
      <w:pPr>
        <w:pStyle w:val="Heading2"/>
        <w:spacing w:after="120" w:before="240"/>
      </w:pPr>
      <w:r>
        <w:t xml:space="preserve">Application Layer</w:t>
      </w:r>
    </w:p>
    <w:p>
      <w:pPr>
        <w:spacing w:after="160" w:line="276"/>
        <w:jc w:val="both"/>
      </w:pPr>
      <w:r>
        <w:rPr>
          <w:b w:val="false"/>
          <w:bCs w:val="false"/>
          <w:i w:val="false"/>
          <w:iCs w:val="false"/>
        </w:rPr>
        <w:t xml:space="preserve">The Spring Boot application layer is deliberately scoped to orchestration and cross-cutting concerns: request validation, authentication and role-based authorization, transaction boundaries around the allocation procedure, payment-gateway integration (order creation, checkout verification via HMAC signature validation followed by a server-side re-fetch from the gateway rather than trusting a client-supplied status, and webhook handling), the booking lifecycle state machine (create, cancel, start, complete, review), and a scheduled notification-dispatch job. No scoring or allocation arithmetic is implemented in Java at any point in this layer.</w:t>
      </w:r>
    </w:p>
    <w:p>
      <w:pPr>
        <w:pStyle w:val="Heading2"/>
        <w:spacing w:after="120" w:before="240"/>
      </w:pPr>
      <w:r>
        <w:t xml:space="preserve">Technology Stack</w:t>
      </w:r>
    </w:p>
    <w:p>
      <w:pPr>
        <w:pStyle w:val="Heading3"/>
        <w:spacing w:after="100" w:before="200"/>
      </w:pPr>
      <w:r>
        <w:t xml:space="preserve">Frontend</w:t>
      </w:r>
    </w:p>
    <w:p>
      <w:pPr>
        <w:pStyle w:val="ListParagraph"/>
        <w:numPr>
          <w:ilvl w:val="0"/>
          <w:numId w:val="1"/>
        </w:numPr>
        <w:spacing w:after="90" w:line="264"/>
      </w:pPr>
      <w:r>
        <w:t xml:space="preserve">React.js, Bootstrap, Leaflet / React-Leaflet, Axios — Leaflet consumes GeoJSON directly, which PostGIS can emit natively, giving a short path from a spatial candidate query to a map view.</w:t>
      </w:r>
    </w:p>
    <w:p>
      <w:pPr>
        <w:pStyle w:val="Heading3"/>
        <w:spacing w:after="100" w:before="200"/>
      </w:pPr>
      <w:r>
        <w:t xml:space="preserve">Backend</w:t>
      </w:r>
    </w:p>
    <w:p>
      <w:pPr>
        <w:pStyle w:val="ListParagraph"/>
        <w:numPr>
          <w:ilvl w:val="0"/>
          <w:numId w:val="1"/>
        </w:numPr>
        <w:spacing w:after="90" w:line="264"/>
      </w:pPr>
      <w:r>
        <w:t xml:space="preserve">Java, Spring Boot 4, Spring Data JPA, Spring Security, REST API — Spring Data JPA calls the existing PostgreSQL stored functions and procedure via native queries and JDBC rather than reimplementing scoring or allocation logic in Java; Spring Security provides stateless, JWT-based, role-based access control.</w:t>
      </w:r>
    </w:p>
    <w:p>
      <w:pPr>
        <w:pStyle w:val="Heading3"/>
        <w:spacing w:after="100" w:before="200"/>
      </w:pPr>
      <w:r>
        <w:t xml:space="preserve">Database</w:t>
      </w:r>
    </w:p>
    <w:p>
      <w:pPr>
        <w:pStyle w:val="ListParagraph"/>
        <w:numPr>
          <w:ilvl w:val="0"/>
          <w:numId w:val="1"/>
        </w:numPr>
        <w:spacing w:after="90" w:line="264"/>
      </w:pPr>
      <w:r>
        <w:t xml:space="preserve">PostgreSQL 16 with the PostGIS extension for geography-typed columns and spatial queries.</w:t>
      </w:r>
    </w:p>
    <w:p>
      <w:pPr>
        <w:pStyle w:val="Heading3"/>
        <w:spacing w:after="100" w:before="200"/>
      </w:pPr>
      <w:r>
        <w:t xml:space="preserve">Supporting tooling</w:t>
      </w:r>
    </w:p>
    <w:p>
      <w:pPr>
        <w:pStyle w:val="ListParagraph"/>
        <w:numPr>
          <w:ilvl w:val="0"/>
          <w:numId w:val="1"/>
        </w:numPr>
        <w:spacing w:after="90" w:line="264"/>
      </w:pPr>
      <w:r>
        <w:t xml:space="preserve">Flyway — versioned schema migrations, so the database remains the source of truth as the application layer is added.</w:t>
      </w:r>
    </w:p>
    <w:p>
      <w:pPr>
        <w:pStyle w:val="ListParagraph"/>
        <w:numPr>
          <w:ilvl w:val="0"/>
          <w:numId w:val="1"/>
        </w:numPr>
        <w:spacing w:after="90" w:line="264"/>
      </w:pPr>
      <w:r>
        <w:t xml:space="preserve">Docker / Docker Compose — a reproducible PostgreSQL/PostGIS environment for development and testing.</w:t>
      </w:r>
    </w:p>
    <w:p>
      <w:pPr>
        <w:pStyle w:val="ListParagraph"/>
        <w:numPr>
          <w:ilvl w:val="0"/>
          <w:numId w:val="1"/>
        </w:numPr>
        <w:spacing w:after="90" w:line="264"/>
      </w:pPr>
      <w:r>
        <w:t xml:space="preserve">JWT (via Spring Security) — stateless token-based authentication for the REST API.</w:t>
      </w:r>
    </w:p>
    <w:p>
      <w:pPr>
        <w:pStyle w:val="ListParagraph"/>
        <w:numPr>
          <w:ilvl w:val="0"/>
          <w:numId w:val="1"/>
        </w:numPr>
        <w:spacing w:after="90" w:line="264"/>
      </w:pPr>
      <w:r>
        <w:t xml:space="preserve">Bean Validation (Hibernate Validator) — request-level validation before data reaches the allocation pipeline.</w:t>
      </w:r>
    </w:p>
    <w:p>
      <w:pPr>
        <w:pStyle w:val="ListParagraph"/>
        <w:numPr>
          <w:ilvl w:val="0"/>
          <w:numId w:val="1"/>
        </w:numPr>
        <w:spacing w:after="90" w:line="264"/>
      </w:pPr>
      <w:r>
        <w:t xml:space="preserve">Razorpay — the real payment gateway integrated in sandbox/test mode for order creation and checkout verification.</w:t>
      </w:r>
    </w:p>
    <w:p>
      <w:pPr>
        <w:pStyle w:val="Heading1"/>
        <w:spacing w:after="160" w:before="320"/>
      </w:pPr>
      <w:r>
        <w:t xml:space="preserve">Existing System</w:t>
      </w:r>
    </w:p>
    <w:p>
      <w:pPr>
        <w:spacing w:after="160" w:line="276"/>
        <w:jc w:val="both"/>
      </w:pPr>
      <w:r>
        <w:rPr>
          <w:b w:val="false"/>
          <w:bCs w:val="false"/>
          <w:i w:val="false"/>
          <w:iCs w:val="false"/>
        </w:rPr>
        <w:t xml:space="preserve">Most currently deployed and student-project-scale on-demand worker marketplaces fall into one of two categories, neither of which treats the database as a participant in the matching decision. Manual and word-of-mouth coordination, still common for many local trades, has no systematic matching logic at all and does not scale past a small, personally known set of workers. Application-driven platforms typically implement one of two simple rules — assign the first worker to accept a job, or assign the geographically nearest available worker — and implement that rule entirely inside the application tier: the database is queried for a list of rows matching basic criteria, and every subsequent filtering, ranking, and selection step happens in ordinary procedural code.</w:t>
      </w:r>
    </w:p>
    <w:p>
      <w:pPr>
        <w:spacing w:after="160" w:line="276"/>
        <w:jc w:val="both"/>
      </w:pPr>
      <w:r>
        <w:rPr>
          <w:b w:val="false"/>
          <w:bCs w:val="false"/>
          <w:i w:val="false"/>
          <w:iCs w:val="false"/>
        </w:rPr>
        <w:t xml:space="preserve">This approach has three recurring weaknesses that motivate the proposed system. First, correctness under concurrency is easy to get wrong: without a database-level constraint preventing it, two near-simultaneous booking requests can both be assigned the same worker for overlapping times unless the application code independently reimplements locking correctly. Second, match quality is limited to whatever single criterion the simple rule encodes — nearest distance or first response — ignoring skill fit, reputation, current workload, price, and experience simultaneously, which this project’s own literature review identifies as a well-studied deficiency in the spatial-crowdsourcing research literature. Third, and specifically relevant to a database-systems evaluation, pushing all filtering logic into the application layer forfeits the query-planning and indexing benefits a relational database can otherwise provide for exactly this kind of filter-then-rank access pattern, and makes it difficult to measure or reason about where time is actually being spent.</w:t>
      </w:r>
    </w:p>
    <w:p>
      <w:pPr>
        <w:spacing w:after="160" w:line="276"/>
        <w:jc w:val="both"/>
      </w:pPr>
      <w:r>
        <w:rPr>
          <w:b w:val="false"/>
          <w:bCs w:val="false"/>
          <w:i w:val="false"/>
          <w:iCs w:val="false"/>
        </w:rPr>
        <w:t xml:space="preserve">This project’s own experimental design includes a faithful implementation of this class of system as a controlled baseline — a Java filter chain that narrows candidates by skill and availability and then selects the nearest worker by straight-line distance, issuing a separate database query per candidate to check for scheduling conflicts rather than expressing that check as a single set-based database operation. Comparing the proposed database-resident allocator against this concrete, working baseline, rather than against a description of one, is what allows the Results and Findings section to report a specific, measured performance gap rather than an assumed one.</w:t>
      </w:r>
    </w:p>
    <w:p>
      <w:pPr>
        <w:pStyle w:val="Heading1"/>
        <w:spacing w:after="160" w:before="320"/>
      </w:pPr>
      <w:r>
        <w:t xml:space="preserve">Implementation Summary</w:t>
      </w:r>
    </w:p>
    <w:p>
      <w:pPr>
        <w:spacing w:after="160" w:line="276"/>
        <w:jc w:val="both"/>
      </w:pPr>
      <w:r>
        <w:rPr>
          <w:b w:val="false"/>
          <w:bCs w:val="false"/>
          <w:i w:val="false"/>
          <w:iCs w:val="false"/>
        </w:rPr>
        <w:t xml:space="preserve">The proposed system described above was fully implemented and verified end-to-end against a live PostgreSQL 16 / PostGIS instance and a live Razorpay sandbox payment account, not built as a paper design only. Implementation proceeded through eleven phases, each closed out with real, on-machine verification — compiled builds, passing automated test suites, and live HTTP or browser interaction against the running application — rather than a structural read-through alone.</w:t>
      </w:r>
    </w:p>
    <w:p>
      <w:pPr>
        <w:pStyle w:val="Heading2"/>
        <w:spacing w:after="120" w:before="240"/>
      </w:pPr>
      <w:r>
        <w:t xml:space="preserve">Phases completed</w:t>
      </w:r>
    </w:p>
    <w:p>
      <w:pPr>
        <w:pStyle w:val="ListParagraph"/>
        <w:numPr>
          <w:ilvl w:val="0"/>
          <w:numId w:val="1"/>
        </w:numPr>
        <w:spacing w:after="90" w:line="264"/>
      </w:pPr>
      <w:r>
        <w:t xml:space="preserve">Project scaffolding: Spring Boot project structure, environment profiles, and the database schema converted into versioned Flyway migrations so the database remains the single source of truth.</w:t>
      </w:r>
    </w:p>
    <w:p>
      <w:pPr>
        <w:pStyle w:val="ListParagraph"/>
        <w:numPr>
          <w:ilvl w:val="0"/>
          <w:numId w:val="1"/>
        </w:numPr>
        <w:spacing w:after="90" w:line="264"/>
      </w:pPr>
      <w:r>
        <w:t xml:space="preserve">Domain, repository, and baseline allocator layer: JPA entities and repositories for the full schema, and the traditional Java filter-chain allocator used as the controlled baseline throughout this report.</w:t>
      </w:r>
    </w:p>
    <w:p>
      <w:pPr>
        <w:pStyle w:val="ListParagraph"/>
        <w:numPr>
          <w:ilvl w:val="0"/>
          <w:numId w:val="1"/>
        </w:numPr>
        <w:spacing w:after="90" w:line="264"/>
      </w:pPr>
      <w:r>
        <w:t xml:space="preserve">Spatial candidate retrieval: native-SQL endpoints wrapping the database-side candidate-filtering and radius-search logic.</w:t>
      </w:r>
    </w:p>
    <w:p>
      <w:pPr>
        <w:pStyle w:val="ListParagraph"/>
        <w:numPr>
          <w:ilvl w:val="0"/>
          <w:numId w:val="1"/>
        </w:numPr>
        <w:spacing w:after="90" w:line="264"/>
      </w:pPr>
      <w:r>
        <w:t xml:space="preserve">Intelligent scoring and allocation: services wrapping the multi-attribute scoring function and the transactional allocation procedure, hardened after a code review surfaced and fixed a concurrency race and a silent-null-score gap.</w:t>
      </w:r>
    </w:p>
    <w:p>
      <w:pPr>
        <w:pStyle w:val="ListParagraph"/>
        <w:numPr>
          <w:ilvl w:val="0"/>
          <w:numId w:val="1"/>
        </w:numPr>
        <w:spacing w:after="90" w:line="264"/>
      </w:pPr>
      <w:r>
        <w:t xml:space="preserve">Booking lifecycle, notifications, and feedback: the full create/cancel/start/complete/review state machine and a scheduled job that drains the trigger-populated notification outbox.</w:t>
      </w:r>
    </w:p>
    <w:p>
      <w:pPr>
        <w:pStyle w:val="ListParagraph"/>
        <w:numPr>
          <w:ilvl w:val="0"/>
          <w:numId w:val="1"/>
        </w:numPr>
        <w:spacing w:after="90" w:line="264"/>
      </w:pPr>
      <w:r>
        <w:t xml:space="preserve">Payment gateway integration: order creation, checkout verification, and webhook handling against a real Razorpay sandbox account, live-verified through an actual card-based checkout that resolved to a confirmed, paid booking.</w:t>
      </w:r>
    </w:p>
    <w:p>
      <w:pPr>
        <w:pStyle w:val="ListParagraph"/>
        <w:numPr>
          <w:ilvl w:val="0"/>
          <w:numId w:val="1"/>
        </w:numPr>
        <w:spacing w:after="90" w:line="264"/>
      </w:pPr>
      <w:r>
        <w:t xml:space="preserve">Authentication: stateless JWT-based registration, login, and role-based access control, with two genuine Spring Security defects found and fixed through live testing rather than unit tests alone.</w:t>
      </w:r>
    </w:p>
    <w:p>
      <w:pPr>
        <w:pStyle w:val="ListParagraph"/>
        <w:numPr>
          <w:ilvl w:val="0"/>
          <w:numId w:val="1"/>
        </w:numPr>
        <w:spacing w:after="90" w:line="264"/>
      </w:pPr>
      <w:r>
        <w:t xml:space="preserve">Frontend: a role-based React single-page application covering customer, worker, and admin flows against the full REST API.</w:t>
      </w:r>
    </w:p>
    <w:p>
      <w:pPr>
        <w:pStyle w:val="ListParagraph"/>
        <w:numPr>
          <w:ilvl w:val="0"/>
          <w:numId w:val="1"/>
        </w:numPr>
        <w:spacing w:after="90" w:line="264"/>
      </w:pPr>
      <w:r>
        <w:t xml:space="preserve">Admin panel and account self-service: user management, a services and skills catalog, reporting, and a self-service account deactivation feature, with every page and guard confirmed through both direct HTTP calls and real browser interaction.</w:t>
      </w:r>
    </w:p>
    <w:p>
      <w:pPr>
        <w:pStyle w:val="ListParagraph"/>
        <w:numPr>
          <w:ilvl w:val="0"/>
          <w:numId w:val="1"/>
        </w:numPr>
        <w:spacing w:after="90" w:line="264"/>
      </w:pPr>
      <w:r>
        <w:t xml:space="preserve">Query-optimization benchmark harness: a synthetic-data generator and a repeatable benchmarking script producing the indexed-versus-non-indexed comparison reported in the next section.</w:t>
      </w:r>
    </w:p>
    <w:p>
      <w:pPr>
        <w:pStyle w:val="ListParagraph"/>
        <w:numPr>
          <w:ilvl w:val="0"/>
          <w:numId w:val="1"/>
        </w:numPr>
        <w:spacing w:after="90" w:line="264"/>
      </w:pPr>
      <w:r>
        <w:t xml:space="preserve">Baseline comparison suite: an evaluation harness implementing all six allocation strategies compared in the next section, computing a consistent set of quality, efficiency, and fairness metrics for each.</w:t>
      </w:r>
    </w:p>
    <w:p>
      <w:pPr>
        <w:pStyle w:val="Heading2"/>
        <w:spacing w:after="120" w:before="240"/>
      </w:pPr>
      <w:r>
        <w:t xml:space="preserve">Verification discipline</w:t>
      </w:r>
    </w:p>
    <w:p>
      <w:pPr>
        <w:spacing w:after="160" w:line="276"/>
        <w:jc w:val="both"/>
      </w:pPr>
      <w:r>
        <w:rPr>
          <w:b w:val="false"/>
          <w:bCs w:val="false"/>
          <w:i w:val="false"/>
          <w:iCs w:val="false"/>
        </w:rPr>
        <w:t xml:space="preserve">Every phase was verified against the real, running system rather than accepted on inspection alone. By the close of the admin-panel phase the automated test suite stood at 126 passing unit and integration tests; every REST endpoint exercised in this report was called directly with real HTTP requests against a live server backed by a live PostgreSQL 16 instance with PostGIS enabled, and the browser-facing flows — including the full payment checkout and every administrative guard — were additionally confirmed through direct browser interaction, not simulated.</w:t>
      </w:r>
    </w:p>
    <w:p>
      <w:pPr>
        <w:spacing w:after="160" w:line="276"/>
        <w:jc w:val="both"/>
      </w:pPr>
      <w:r>
        <w:rPr>
          <w:b w:val="false"/>
          <w:bCs w:val="false"/>
          <w:i w:val="false"/>
          <w:iCs w:val="false"/>
        </w:rPr>
        <w:t xml:space="preserve">This discipline surfaced several genuine defects that a design-only report would not have caught, three of which are worth recording because they reflect on the reliability of the results reported later in this document rather than being incidental bug-fixing detail. An inline, fully-qualified enum literal inside one JPQL query compiled, under the Hibernate version in use, to a database cast referencing the wrong type name — a defect that had been explicitly flagged as a latent, unconfirmed risk earlier in the project and only surfaced once the traditional allocator was finally exercised against real data rather than mocked in a unit test, underscoring the value of live end-to-end verification over test doubles alone. A Postgres materialized-view refresh statement using the concurrent-refresh option was found to be illegal inside an explicit transaction block, a subtlety that initially presented as a tool-specific quirk before being traced to its actual cause. Most significantly for the results reported below, the evaluation harness itself was found to silently accumulate synthetic data across runs, meaning an allocation strategy’s measured performance at a given nominal scale actually reflected the true — and much larger — accumulated candidate pool left behind by every prior run, not the intended scale; this was diagnosed, a cleanup procedure was established and applied before every individual evaluation run from that point forward, and the results in the next section are all drawn from runs verified clean by this procedure.</w:t>
      </w:r>
    </w:p>
    <w:p>
      <w:pPr>
        <w:pStyle w:val="Heading1"/>
        <w:spacing w:after="160" w:before="320"/>
      </w:pPr>
      <w:r>
        <w:t xml:space="preserve">Results and Findings</w:t>
      </w:r>
    </w:p>
    <w:p>
      <w:pPr>
        <w:spacing w:after="160" w:line="276"/>
        <w:jc w:val="both"/>
      </w:pPr>
      <w:r>
        <w:rPr>
          <w:b w:val="false"/>
          <w:bCs w:val="false"/>
          <w:i w:val="false"/>
          <w:iCs w:val="false"/>
        </w:rPr>
        <w:t xml:space="preserve">Two experimental studies were run against the completed, live system. The first evaluates query-optimization technique (spatial indexing) against hypothesis H3 and, indirectly, H5. The second evaluates allocation-strategy choice against hypotheses H1 and H4, and additionally reports on assignment fairness, a dimension not captured by the original hypothesis set but surfaced as a significant and reportable finding once the data was examined.</w:t>
      </w:r>
    </w:p>
    <w:p>
      <w:pPr>
        <w:pStyle w:val="Heading2"/>
        <w:spacing w:after="120" w:before="240"/>
      </w:pPr>
      <w:r>
        <w:t xml:space="preserve">Query-Optimization Benchmark</w:t>
      </w:r>
    </w:p>
    <w:p>
      <w:pPr>
        <w:spacing w:after="160" w:line="276"/>
        <w:jc w:val="both"/>
      </w:pPr>
      <w:r>
        <w:rPr>
          <w:b w:val="false"/>
          <w:bCs w:val="false"/>
          <w:i w:val="false"/>
          <w:iCs w:val="false"/>
        </w:rPr>
        <w:t xml:space="preserve">A synthetic worker population was generated at five scales (1,000, 5,000, 10,000, 50,000, and 100,000 workers, with proportional customers and bookings) in a dedicated benchmark database. Two representative queries were measured with and without spatial indexing, using the database’s own query-plan analysis to record execution time: a point-outward radius search (the “nearby workers” endpoint) and the multi-condition candidate-eligibility query that underlies the allocation pipeline (“candidate search”).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900"/>
        <w:gridCol w:w="1900"/>
        <w:gridCol w:w="1600"/>
      </w:tblGrid>
      <w:tr>
        <w:trPr>
          <w:tblHeader/>
        </w:trPr>
        <w:tc>
          <w:tcPr>
            <w:tcW w:type="dxa" w:w="3200"/>
            <w:shd w:fill="D9E2F3" w:val="clear"/>
            <w:tcMar>
              <w:top w:type="dxa" w:w="60"/>
              <w:left w:type="dxa" w:w="100"/>
              <w:bottom w:type="dxa" w:w="60"/>
              <w:right w:type="dxa" w:w="100"/>
            </w:tcMar>
            <w:vAlign w:val="center"/>
          </w:tcPr>
          <w:p>
            <w:pPr>
              <w:jc w:val="center"/>
            </w:pPr>
            <w:r>
              <w:rPr>
                <w:b/>
                <w:bCs/>
                <w:sz w:val="19"/>
                <w:szCs w:val="19"/>
              </w:rPr>
              <w:t xml:space="preserve">Query</w:t>
            </w:r>
          </w:p>
        </w:tc>
        <w:tc>
          <w:tcPr>
            <w:tcW w:type="dxa" w:w="1600"/>
            <w:shd w:fill="D9E2F3" w:val="clear"/>
            <w:tcMar>
              <w:top w:type="dxa" w:w="60"/>
              <w:left w:type="dxa" w:w="100"/>
              <w:bottom w:type="dxa" w:w="60"/>
              <w:right w:type="dxa" w:w="100"/>
            </w:tcMar>
            <w:vAlign w:val="center"/>
          </w:tcPr>
          <w:p>
            <w:pPr>
              <w:jc w:val="center"/>
            </w:pPr>
            <w:r>
              <w:rPr>
                <w:b/>
                <w:bCs/>
                <w:sz w:val="19"/>
                <w:szCs w:val="19"/>
              </w:rPr>
              <w:t xml:space="preserve">Scale</w:t>
            </w:r>
          </w:p>
        </w:tc>
        <w:tc>
          <w:tcPr>
            <w:tcW w:type="dxa" w:w="1900"/>
            <w:shd w:fill="D9E2F3" w:val="clear"/>
            <w:tcMar>
              <w:top w:type="dxa" w:w="60"/>
              <w:left w:type="dxa" w:w="100"/>
              <w:bottom w:type="dxa" w:w="60"/>
              <w:right w:type="dxa" w:w="100"/>
            </w:tcMar>
            <w:vAlign w:val="center"/>
          </w:tcPr>
          <w:p>
            <w:pPr>
              <w:jc w:val="center"/>
            </w:pPr>
            <w:r>
              <w:rPr>
                <w:b/>
                <w:bCs/>
                <w:sz w:val="19"/>
                <w:szCs w:val="19"/>
              </w:rPr>
              <w:t xml:space="preserve">Indexed (ms)</w:t>
            </w:r>
          </w:p>
        </w:tc>
        <w:tc>
          <w:tcPr>
            <w:tcW w:type="dxa" w:w="1900"/>
            <w:shd w:fill="D9E2F3" w:val="clear"/>
            <w:tcMar>
              <w:top w:type="dxa" w:w="60"/>
              <w:left w:type="dxa" w:w="100"/>
              <w:bottom w:type="dxa" w:w="60"/>
              <w:right w:type="dxa" w:w="100"/>
            </w:tcMar>
            <w:vAlign w:val="center"/>
          </w:tcPr>
          <w:p>
            <w:pPr>
              <w:jc w:val="center"/>
            </w:pPr>
            <w:r>
              <w:rPr>
                <w:b/>
                <w:bCs/>
                <w:sz w:val="19"/>
                <w:szCs w:val="19"/>
              </w:rPr>
              <w:t xml:space="preserve">No Index (ms)</w:t>
            </w:r>
          </w:p>
        </w:tc>
        <w:tc>
          <w:tcPr>
            <w:tcW w:type="dxa" w:w="1600"/>
            <w:shd w:fill="D9E2F3" w:val="clear"/>
            <w:tcMar>
              <w:top w:type="dxa" w:w="60"/>
              <w:left w:type="dxa" w:w="100"/>
              <w:bottom w:type="dxa" w:w="60"/>
              <w:right w:type="dxa" w:w="100"/>
            </w:tcMar>
            <w:vAlign w:val="center"/>
          </w:tcPr>
          <w:p>
            <w:pPr>
              <w:jc w:val="center"/>
            </w:pPr>
            <w:r>
              <w:rPr>
                <w:b/>
                <w:bCs/>
                <w:sz w:val="19"/>
                <w:szCs w:val="19"/>
              </w:rPr>
              <w:t xml:space="preserve">Speedup</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candidate_search</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52.19</w:t>
            </w:r>
          </w:p>
        </w:tc>
        <w:tc>
          <w:tcPr>
            <w:tcW w:type="dxa" w:w="1900"/>
            <w:tcMar>
              <w:top w:type="dxa" w:w="60"/>
              <w:left w:type="dxa" w:w="100"/>
              <w:bottom w:type="dxa" w:w="60"/>
              <w:right w:type="dxa" w:w="100"/>
            </w:tcMar>
            <w:vAlign w:val="center"/>
          </w:tcPr>
          <w:p>
            <w:pPr>
              <w:jc w:val="center"/>
            </w:pPr>
            <w:r>
              <w:rPr>
                <w:b w:val="false"/>
                <w:bCs w:val="false"/>
                <w:sz w:val="19"/>
                <w:szCs w:val="19"/>
              </w:rPr>
              <w:t xml:space="preserve">52.05</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candidate_search</w:t>
            </w:r>
          </w:p>
        </w:tc>
        <w:tc>
          <w:tcPr>
            <w:tcW w:type="dxa" w:w="1600"/>
            <w:tcMar>
              <w:top w:type="dxa" w:w="60"/>
              <w:left w:type="dxa" w:w="100"/>
              <w:bottom w:type="dxa" w:w="60"/>
              <w:right w:type="dxa" w:w="100"/>
            </w:tcMar>
            <w:vAlign w:val="center"/>
          </w:tcPr>
          <w:p>
            <w:pPr>
              <w:jc w:val="center"/>
            </w:pPr>
            <w:r>
              <w:rPr>
                <w:b w:val="false"/>
                <w:bCs w:val="false"/>
                <w:sz w:val="19"/>
                <w:szCs w:val="19"/>
              </w:rPr>
              <w:t xml:space="preserve">5,000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68.05</w:t>
            </w:r>
          </w:p>
        </w:tc>
        <w:tc>
          <w:tcPr>
            <w:tcW w:type="dxa" w:w="1900"/>
            <w:tcMar>
              <w:top w:type="dxa" w:w="60"/>
              <w:left w:type="dxa" w:w="100"/>
              <w:bottom w:type="dxa" w:w="60"/>
              <w:right w:type="dxa" w:w="100"/>
            </w:tcMar>
            <w:vAlign w:val="center"/>
          </w:tcPr>
          <w:p>
            <w:pPr>
              <w:jc w:val="center"/>
            </w:pPr>
            <w:r>
              <w:rPr>
                <w:b w:val="false"/>
                <w:bCs w:val="false"/>
                <w:sz w:val="19"/>
                <w:szCs w:val="19"/>
              </w:rPr>
              <w:t xml:space="preserve">62.82</w:t>
            </w:r>
          </w:p>
        </w:tc>
        <w:tc>
          <w:tcPr>
            <w:tcW w:type="dxa" w:w="1600"/>
            <w:tcMar>
              <w:top w:type="dxa" w:w="60"/>
              <w:left w:type="dxa" w:w="100"/>
              <w:bottom w:type="dxa" w:w="60"/>
              <w:right w:type="dxa" w:w="100"/>
            </w:tcMar>
            <w:vAlign w:val="center"/>
          </w:tcPr>
          <w:p>
            <w:pPr>
              <w:jc w:val="center"/>
            </w:pPr>
            <w:r>
              <w:rPr>
                <w:b w:val="false"/>
                <w:bCs w:val="false"/>
                <w:sz w:val="19"/>
                <w:szCs w:val="19"/>
              </w:rPr>
              <w:t xml:space="preserve">0.92x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candidate_search</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85.67</w:t>
            </w:r>
          </w:p>
        </w:tc>
        <w:tc>
          <w:tcPr>
            <w:tcW w:type="dxa" w:w="1900"/>
            <w:tcMar>
              <w:top w:type="dxa" w:w="60"/>
              <w:left w:type="dxa" w:w="100"/>
              <w:bottom w:type="dxa" w:w="60"/>
              <w:right w:type="dxa" w:w="100"/>
            </w:tcMar>
            <w:vAlign w:val="center"/>
          </w:tcPr>
          <w:p>
            <w:pPr>
              <w:jc w:val="center"/>
            </w:pPr>
            <w:r>
              <w:rPr>
                <w:b w:val="false"/>
                <w:bCs w:val="false"/>
                <w:sz w:val="19"/>
                <w:szCs w:val="19"/>
              </w:rPr>
              <w:t xml:space="preserve">83.42</w:t>
            </w:r>
          </w:p>
        </w:tc>
        <w:tc>
          <w:tcPr>
            <w:tcW w:type="dxa" w:w="1600"/>
            <w:tcMar>
              <w:top w:type="dxa" w:w="60"/>
              <w:left w:type="dxa" w:w="100"/>
              <w:bottom w:type="dxa" w:w="60"/>
              <w:right w:type="dxa" w:w="100"/>
            </w:tcMar>
            <w:vAlign w:val="center"/>
          </w:tcPr>
          <w:p>
            <w:pPr>
              <w:jc w:val="center"/>
            </w:pPr>
            <w:r>
              <w:rPr>
                <w:b w:val="false"/>
                <w:bCs w:val="false"/>
                <w:sz w:val="19"/>
                <w:szCs w:val="19"/>
              </w:rPr>
              <w:t xml:space="preserve">0.97x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candidate_search</w:t>
            </w:r>
          </w:p>
        </w:tc>
        <w:tc>
          <w:tcPr>
            <w:tcW w:type="dxa" w:w="1600"/>
            <w:tcMar>
              <w:top w:type="dxa" w:w="60"/>
              <w:left w:type="dxa" w:w="100"/>
              <w:bottom w:type="dxa" w:w="60"/>
              <w:right w:type="dxa" w:w="100"/>
            </w:tcMar>
            <w:vAlign w:val="center"/>
          </w:tcPr>
          <w:p>
            <w:pPr>
              <w:jc w:val="center"/>
            </w:pPr>
            <w:r>
              <w:rPr>
                <w:b w:val="false"/>
                <w:bCs w:val="false"/>
                <w:sz w:val="19"/>
                <w:szCs w:val="19"/>
              </w:rPr>
              <w:t xml:space="preserve">50,000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227.65</w:t>
            </w:r>
          </w:p>
        </w:tc>
        <w:tc>
          <w:tcPr>
            <w:tcW w:type="dxa" w:w="1900"/>
            <w:tcMar>
              <w:top w:type="dxa" w:w="60"/>
              <w:left w:type="dxa" w:w="100"/>
              <w:bottom w:type="dxa" w:w="60"/>
              <w:right w:type="dxa" w:w="100"/>
            </w:tcMar>
            <w:vAlign w:val="center"/>
          </w:tcPr>
          <w:p>
            <w:pPr>
              <w:jc w:val="center"/>
            </w:pPr>
            <w:r>
              <w:rPr>
                <w:b w:val="false"/>
                <w:bCs w:val="false"/>
                <w:sz w:val="19"/>
                <w:szCs w:val="19"/>
              </w:rPr>
              <w:t xml:space="preserve">228.45</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candidate_search</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613.61</w:t>
            </w:r>
          </w:p>
        </w:tc>
        <w:tc>
          <w:tcPr>
            <w:tcW w:type="dxa" w:w="1900"/>
            <w:tcMar>
              <w:top w:type="dxa" w:w="60"/>
              <w:left w:type="dxa" w:w="100"/>
              <w:bottom w:type="dxa" w:w="60"/>
              <w:right w:type="dxa" w:w="100"/>
            </w:tcMar>
            <w:vAlign w:val="center"/>
          </w:tcPr>
          <w:p>
            <w:pPr>
              <w:jc w:val="center"/>
            </w:pPr>
            <w:r>
              <w:rPr>
                <w:b w:val="false"/>
                <w:bCs w:val="false"/>
                <w:sz w:val="19"/>
                <w:szCs w:val="19"/>
              </w:rPr>
              <w:t xml:space="preserve">610.66</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nearby_workers</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45.48</w:t>
            </w:r>
          </w:p>
        </w:tc>
        <w:tc>
          <w:tcPr>
            <w:tcW w:type="dxa" w:w="1900"/>
            <w:tcMar>
              <w:top w:type="dxa" w:w="60"/>
              <w:left w:type="dxa" w:w="100"/>
              <w:bottom w:type="dxa" w:w="60"/>
              <w:right w:type="dxa" w:w="100"/>
            </w:tcMar>
            <w:vAlign w:val="center"/>
          </w:tcPr>
          <w:p>
            <w:pPr>
              <w:jc w:val="center"/>
            </w:pPr>
            <w:r>
              <w:rPr>
                <w:b w:val="false"/>
                <w:bCs w:val="false"/>
                <w:sz w:val="19"/>
                <w:szCs w:val="19"/>
              </w:rPr>
              <w:t xml:space="preserve">49.71</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1.09x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nearby_workers</w:t>
            </w:r>
          </w:p>
        </w:tc>
        <w:tc>
          <w:tcPr>
            <w:tcW w:type="dxa" w:w="1600"/>
            <w:tcMar>
              <w:top w:type="dxa" w:w="60"/>
              <w:left w:type="dxa" w:w="100"/>
              <w:bottom w:type="dxa" w:w="60"/>
              <w:right w:type="dxa" w:w="100"/>
            </w:tcMar>
            <w:vAlign w:val="center"/>
          </w:tcPr>
          <w:p>
            <w:pPr>
              <w:jc w:val="center"/>
            </w:pPr>
            <w:r>
              <w:rPr>
                <w:b w:val="false"/>
                <w:bCs w:val="false"/>
                <w:sz w:val="19"/>
                <w:szCs w:val="19"/>
              </w:rPr>
              <w:t xml:space="preserve">5,000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58.24</w:t>
            </w:r>
          </w:p>
        </w:tc>
        <w:tc>
          <w:tcPr>
            <w:tcW w:type="dxa" w:w="1900"/>
            <w:tcMar>
              <w:top w:type="dxa" w:w="60"/>
              <w:left w:type="dxa" w:w="100"/>
              <w:bottom w:type="dxa" w:w="60"/>
              <w:right w:type="dxa" w:w="100"/>
            </w:tcMar>
            <w:vAlign w:val="center"/>
          </w:tcPr>
          <w:p>
            <w:pPr>
              <w:jc w:val="center"/>
            </w:pPr>
            <w:r>
              <w:rPr>
                <w:b w:val="false"/>
                <w:bCs w:val="false"/>
                <w:sz w:val="19"/>
                <w:szCs w:val="19"/>
              </w:rPr>
              <w:t xml:space="preserve">73.67</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1.26x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nearby_workers</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58.35</w:t>
            </w:r>
          </w:p>
        </w:tc>
        <w:tc>
          <w:tcPr>
            <w:tcW w:type="dxa" w:w="1900"/>
            <w:tcMar>
              <w:top w:type="dxa" w:w="60"/>
              <w:left w:type="dxa" w:w="100"/>
              <w:bottom w:type="dxa" w:w="60"/>
              <w:right w:type="dxa" w:w="100"/>
            </w:tcMar>
            <w:vAlign w:val="center"/>
          </w:tcPr>
          <w:p>
            <w:pPr>
              <w:jc w:val="center"/>
            </w:pPr>
            <w:r>
              <w:rPr>
                <w:b w:val="false"/>
                <w:bCs w:val="false"/>
                <w:sz w:val="19"/>
                <w:szCs w:val="19"/>
              </w:rPr>
              <w:t xml:space="preserve">108.44</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1.86x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nearby_workers</w:t>
            </w:r>
          </w:p>
        </w:tc>
        <w:tc>
          <w:tcPr>
            <w:tcW w:type="dxa" w:w="1600"/>
            <w:tcMar>
              <w:top w:type="dxa" w:w="60"/>
              <w:left w:type="dxa" w:w="100"/>
              <w:bottom w:type="dxa" w:w="60"/>
              <w:right w:type="dxa" w:w="100"/>
            </w:tcMar>
            <w:vAlign w:val="center"/>
          </w:tcPr>
          <w:p>
            <w:pPr>
              <w:jc w:val="center"/>
            </w:pPr>
            <w:r>
              <w:rPr>
                <w:b w:val="false"/>
                <w:bCs w:val="false"/>
                <w:sz w:val="19"/>
                <w:szCs w:val="19"/>
              </w:rPr>
              <w:t xml:space="preserve">50,000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218.43</w:t>
            </w:r>
          </w:p>
        </w:tc>
        <w:tc>
          <w:tcPr>
            <w:tcW w:type="dxa" w:w="1900"/>
            <w:tcMar>
              <w:top w:type="dxa" w:w="60"/>
              <w:left w:type="dxa" w:w="100"/>
              <w:bottom w:type="dxa" w:w="60"/>
              <w:right w:type="dxa" w:w="100"/>
            </w:tcMar>
            <w:vAlign w:val="center"/>
          </w:tcPr>
          <w:p>
            <w:pPr>
              <w:jc w:val="center"/>
            </w:pPr>
            <w:r>
              <w:rPr>
                <w:b w:val="false"/>
                <w:bCs w:val="false"/>
                <w:sz w:val="19"/>
                <w:szCs w:val="19"/>
              </w:rPr>
              <w:t xml:space="preserve">373.33</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1.71x</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nearby_workers</w:t>
            </w:r>
          </w:p>
        </w:tc>
        <w:tc>
          <w:tcPr>
            <w:tcW w:type="dxa" w:w="1600"/>
            <w:tcMar>
              <w:top w:type="dxa" w:w="60"/>
              <w:left w:type="dxa" w:w="100"/>
              <w:bottom w:type="dxa" w:w="60"/>
              <w:right w:type="dxa" w:w="100"/>
            </w:tcMar>
            <w:vAlign w:val="center"/>
          </w:tcPr>
          <w:p>
            <w:pPr>
              <w:jc w:val="center"/>
            </w:pPr>
            <w:r>
              <w:rPr>
                <w:b w:val="false"/>
                <w:bCs w:val="false"/>
                <w:sz w:val="19"/>
                <w:szCs w:val="19"/>
              </w:rPr>
              <w:t xml:space="preserve">100,000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193.62</w:t>
            </w:r>
          </w:p>
        </w:tc>
        <w:tc>
          <w:tcPr>
            <w:tcW w:type="dxa" w:w="1900"/>
            <w:tcMar>
              <w:top w:type="dxa" w:w="60"/>
              <w:left w:type="dxa" w:w="100"/>
              <w:bottom w:type="dxa" w:w="60"/>
              <w:right w:type="dxa" w:w="100"/>
            </w:tcMar>
            <w:vAlign w:val="center"/>
          </w:tcPr>
          <w:p>
            <w:pPr>
              <w:jc w:val="center"/>
            </w:pPr>
            <w:r>
              <w:rPr>
                <w:b w:val="false"/>
                <w:bCs w:val="false"/>
                <w:sz w:val="19"/>
                <w:szCs w:val="19"/>
              </w:rPr>
              <w:t xml:space="preserve">522.85</w:t>
            </w:r>
          </w:p>
        </w:tc>
        <w:tc>
          <w:tcPr>
            <w:tcW w:type="dxa" w:w="1600"/>
            <w:tcMar>
              <w:top w:type="dxa" w:w="60"/>
              <w:left w:type="dxa" w:w="100"/>
              <w:bottom w:type="dxa" w:w="60"/>
              <w:right w:type="dxa" w:w="100"/>
            </w:tcMar>
            <w:vAlign w:val="center"/>
          </w:tcPr>
          <w:p>
            <w:pPr>
              <w:jc w:val="center"/>
            </w:pPr>
            <w:r>
              <w:rPr>
                <w:b w:val="false"/>
                <w:bCs w:val="false"/>
                <w:sz w:val="19"/>
                <w:szCs w:val="19"/>
              </w:rPr>
              <w:t xml:space="preserve">2.70x</w:t>
            </w:r>
          </w:p>
        </w:tc>
      </w:tr>
    </w:tbl>
    <w:p>
      <w:pPr>
        <w:spacing w:after="160"/>
      </w:pPr>
    </w:p>
    <w:p>
      <w:pPr>
        <w:spacing w:after="160" w:line="276"/>
        <w:jc w:val="both"/>
      </w:pPr>
      <w:r>
        <w:rPr>
          <w:b w:val="false"/>
          <w:bCs w:val="false"/>
          <w:i w:val="false"/>
          <w:iCs w:val="false"/>
        </w:rPr>
        <w:t xml:space="preserve">The two queries produced markedly different outcomes, and the difference is explained by query-plan structure rather than by any deficiency in the index itself. The nearby-workers query shows the classic expected pattern: the speedup from the spatial index grows with scale, reaching 2.70x at 100,000 workers, because this query genuinely searches outward from a fixed point with no other filter applied first — precisely the access pattern a spatial index is built to accelerate. The candidate-search query shows no measurable benefit from the same index at any scale, and inspection of its actual query plan explains why: the plan first joins on service and active-status filters to identify specific candidate workers, and only then fetches each identified candidate’s one already-known location by primary key, evaluating the distance condition as a simple row-level filter rather than as an index-accelerated search. A spatial index built for “find points near P” provides no benefit for “check whether this one already-identified point is near P,” since a primary-key lookup is already cheaper than a spatial-index probe for a single row. The finding for H3 is therefore that spatial indexing’s benefit is access-pattern-dependent rather than automatic: it is substantial and scale-growing for a genuine nearest-neighbour search, and provably absent, by query-plan inspection rather than assumption, for a query whose join order reaches location last.</w:t>
      </w:r>
    </w:p>
    <w:p>
      <w:pPr>
        <w:pStyle w:val="Heading2"/>
        <w:spacing w:after="120" w:before="240"/>
      </w:pPr>
      <w:r>
        <w:t xml:space="preserve">Allocation-Strategy Comparison</w:t>
      </w:r>
    </w:p>
    <w:p>
      <w:pPr>
        <w:spacing w:after="160" w:line="276"/>
        <w:jc w:val="both"/>
      </w:pPr>
      <w:r>
        <w:rPr>
          <w:b w:val="false"/>
          <w:bCs w:val="false"/>
          <w:i w:val="false"/>
          <w:iCs w:val="false"/>
        </w:rPr>
        <w:t xml:space="preserve">Six allocation strategies were compared using a purpose-built evaluation harness: random selection from the eligible candidate pool; nearest-worker selection by straight-line distance; rating-only selection; a simple two-factor heuristic weighting distance and rating equally; the traditional Java filter-chain baseline described in the Existing System section; and the proposed database-resident multi-attribute allocator. All six were run against the real application database at three scales, with the harness’s own accumulated-data defect (Implementation Summary) corrected and a cleanup procedure applied immediately before every individual run, so that the reported eligible-worker-pool sizes of 57, 155, and 305 closely track the nominal 60, 150, and 300 workers requested at each scale. Five metrics were computed for every strategy at every scale: Assignment Success Rate, Average Matching Score (every assignment re-scored by the same scoring function regardless of which strategy selected it, so match quality is compared on equal terms), Average Travel Distance, Average Response Time, and Worker Utilization (the fraction of the eligible pool actually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1100"/>
        <w:gridCol w:w="1300"/>
        <w:gridCol w:w="1300"/>
        <w:gridCol w:w="1100"/>
      </w:tblGrid>
      <w:tr>
        <w:trPr>
          <w:tblHeader/>
        </w:trPr>
        <w:tc>
          <w:tcPr>
            <w:tcW w:type="dxa" w:w="900"/>
            <w:shd w:fill="D9E2F3" w:val="clear"/>
            <w:tcMar>
              <w:top w:type="dxa" w:w="60"/>
              <w:left w:type="dxa" w:w="100"/>
              <w:bottom w:type="dxa" w:w="60"/>
              <w:right w:type="dxa" w:w="100"/>
            </w:tcMar>
            <w:vAlign w:val="center"/>
          </w:tcPr>
          <w:p>
            <w:pPr>
              <w:jc w:val="center"/>
            </w:pPr>
            <w:r>
              <w:rPr>
                <w:b/>
                <w:bCs/>
                <w:sz w:val="19"/>
                <w:szCs w:val="19"/>
              </w:rPr>
              <w:t xml:space="preserve">Pool</w:t>
            </w:r>
          </w:p>
        </w:tc>
        <w:tc>
          <w:tcPr>
            <w:tcW w:type="dxa" w:w="2400"/>
            <w:shd w:fill="D9E2F3" w:val="clear"/>
            <w:tcMar>
              <w:top w:type="dxa" w:w="60"/>
              <w:left w:type="dxa" w:w="100"/>
              <w:bottom w:type="dxa" w:w="60"/>
              <w:right w:type="dxa" w:w="100"/>
            </w:tcMar>
            <w:vAlign w:val="center"/>
          </w:tcPr>
          <w:p>
            <w:pPr>
              <w:jc w:val="center"/>
            </w:pPr>
            <w:r>
              <w:rPr>
                <w:b/>
                <w:bCs/>
                <w:sz w:val="19"/>
                <w:szCs w:val="19"/>
              </w:rPr>
              <w:t xml:space="preserve">Strategy</w:t>
            </w:r>
          </w:p>
        </w:tc>
        <w:tc>
          <w:tcPr>
            <w:tcW w:type="dxa" w:w="1100"/>
            <w:shd w:fill="D9E2F3" w:val="clear"/>
            <w:tcMar>
              <w:top w:type="dxa" w:w="60"/>
              <w:left w:type="dxa" w:w="100"/>
              <w:bottom w:type="dxa" w:w="60"/>
              <w:right w:type="dxa" w:w="100"/>
            </w:tcMar>
            <w:vAlign w:val="center"/>
          </w:tcPr>
          <w:p>
            <w:pPr>
              <w:jc w:val="center"/>
            </w:pPr>
            <w:r>
              <w:rPr>
                <w:b/>
                <w:bCs/>
                <w:sz w:val="19"/>
                <w:szCs w:val="19"/>
              </w:rPr>
              <w:t xml:space="preserve">ASR</w:t>
            </w:r>
          </w:p>
        </w:tc>
        <w:tc>
          <w:tcPr>
            <w:tcW w:type="dxa" w:w="1100"/>
            <w:shd w:fill="D9E2F3" w:val="clear"/>
            <w:tcMar>
              <w:top w:type="dxa" w:w="60"/>
              <w:left w:type="dxa" w:w="100"/>
              <w:bottom w:type="dxa" w:w="60"/>
              <w:right w:type="dxa" w:w="100"/>
            </w:tcMar>
            <w:vAlign w:val="center"/>
          </w:tcPr>
          <w:p>
            <w:pPr>
              <w:jc w:val="center"/>
            </w:pPr>
            <w:r>
              <w:rPr>
                <w:b/>
                <w:bCs/>
                <w:sz w:val="19"/>
                <w:szCs w:val="19"/>
              </w:rPr>
              <w:t xml:space="preserve">AMS</w:t>
            </w:r>
          </w:p>
        </w:tc>
        <w:tc>
          <w:tcPr>
            <w:tcW w:type="dxa" w:w="1300"/>
            <w:shd w:fill="D9E2F3" w:val="clear"/>
            <w:tcMar>
              <w:top w:type="dxa" w:w="60"/>
              <w:left w:type="dxa" w:w="100"/>
              <w:bottom w:type="dxa" w:w="60"/>
              <w:right w:type="dxa" w:w="100"/>
            </w:tcMar>
            <w:vAlign w:val="center"/>
          </w:tcPr>
          <w:p>
            <w:pPr>
              <w:jc w:val="center"/>
            </w:pPr>
            <w:r>
              <w:rPr>
                <w:b/>
                <w:bCs/>
                <w:sz w:val="19"/>
                <w:szCs w:val="19"/>
              </w:rPr>
              <w:t xml:space="preserve">ATD (km)</w:t>
            </w:r>
          </w:p>
        </w:tc>
        <w:tc>
          <w:tcPr>
            <w:tcW w:type="dxa" w:w="1300"/>
            <w:shd w:fill="D9E2F3" w:val="clear"/>
            <w:tcMar>
              <w:top w:type="dxa" w:w="60"/>
              <w:left w:type="dxa" w:w="100"/>
              <w:bottom w:type="dxa" w:w="60"/>
              <w:right w:type="dxa" w:w="100"/>
            </w:tcMar>
            <w:vAlign w:val="center"/>
          </w:tcPr>
          <w:p>
            <w:pPr>
              <w:jc w:val="center"/>
            </w:pPr>
            <w:r>
              <w:rPr>
                <w:b/>
                <w:bCs/>
                <w:sz w:val="19"/>
                <w:szCs w:val="19"/>
              </w:rPr>
              <w:t xml:space="preserve">ART (ms)</w:t>
            </w:r>
          </w:p>
        </w:tc>
        <w:tc>
          <w:tcPr>
            <w:tcW w:type="dxa" w:w="1100"/>
            <w:shd w:fill="D9E2F3" w:val="clear"/>
            <w:tcMar>
              <w:top w:type="dxa" w:w="60"/>
              <w:left w:type="dxa" w:w="100"/>
              <w:bottom w:type="dxa" w:w="60"/>
              <w:right w:type="dxa" w:w="100"/>
            </w:tcMar>
            <w:vAlign w:val="center"/>
          </w:tcPr>
          <w:p>
            <w:pPr>
              <w:jc w:val="center"/>
            </w:pPr>
            <w:r>
              <w:rPr>
                <w:b/>
                <w:bCs/>
                <w:sz w:val="19"/>
                <w:szCs w:val="19"/>
              </w:rPr>
              <w:t xml:space="preserve">WU</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57</w:t>
            </w:r>
          </w:p>
        </w:tc>
        <w:tc>
          <w:tcPr>
            <w:tcW w:type="dxa" w:w="2400"/>
            <w:tcMar>
              <w:top w:type="dxa" w:w="60"/>
              <w:left w:type="dxa" w:w="100"/>
              <w:bottom w:type="dxa" w:w="60"/>
              <w:right w:type="dxa" w:w="100"/>
            </w:tcMar>
            <w:vAlign w:val="center"/>
          </w:tcPr>
          <w:p>
            <w:pPr>
              <w:jc w:val="center"/>
            </w:pPr>
            <w:r>
              <w:rPr>
                <w:b w:val="false"/>
                <w:bCs w:val="false"/>
                <w:sz w:val="19"/>
                <w:szCs w:val="19"/>
              </w:rPr>
              <w:t xml:space="preserve">random</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0.967</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0.748</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18.33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3.9</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0.807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57</w:t>
            </w:r>
          </w:p>
        </w:tc>
        <w:tc>
          <w:tcPr>
            <w:tcW w:type="dxa" w:w="2400"/>
            <w:tcMar>
              <w:top w:type="dxa" w:w="60"/>
              <w:left w:type="dxa" w:w="100"/>
              <w:bottom w:type="dxa" w:w="60"/>
              <w:right w:type="dxa" w:w="100"/>
            </w:tcMar>
            <w:vAlign w:val="center"/>
          </w:tcPr>
          <w:p>
            <w:pPr>
              <w:jc w:val="center"/>
            </w:pPr>
            <w:r>
              <w:rPr>
                <w:b w:val="false"/>
                <w:bCs w:val="false"/>
                <w:sz w:val="19"/>
                <w:szCs w:val="19"/>
              </w:rPr>
              <w:t xml:space="preserve">nearest_worker</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0.967</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0.793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10.74</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3.8</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0.404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57</w:t>
            </w:r>
          </w:p>
        </w:tc>
        <w:tc>
          <w:tcPr>
            <w:tcW w:type="dxa" w:w="2400"/>
            <w:tcMar>
              <w:top w:type="dxa" w:w="60"/>
              <w:left w:type="dxa" w:w="100"/>
              <w:bottom w:type="dxa" w:w="60"/>
              <w:right w:type="dxa" w:w="100"/>
            </w:tcMar>
            <w:vAlign w:val="center"/>
          </w:tcPr>
          <w:p>
            <w:pPr>
              <w:jc w:val="center"/>
            </w:pPr>
            <w:r>
              <w:rPr>
                <w:b w:val="false"/>
                <w:bCs w:val="false"/>
                <w:sz w:val="19"/>
                <w:szCs w:val="19"/>
              </w:rPr>
              <w:t xml:space="preserve">rating_only</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0.967</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0.781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16.77</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4.6</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0.316</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57</w:t>
            </w:r>
          </w:p>
        </w:tc>
        <w:tc>
          <w:tcPr>
            <w:tcW w:type="dxa" w:w="2400"/>
            <w:tcMar>
              <w:top w:type="dxa" w:w="60"/>
              <w:left w:type="dxa" w:w="100"/>
              <w:bottom w:type="dxa" w:w="60"/>
              <w:right w:type="dxa" w:w="100"/>
            </w:tcMar>
            <w:vAlign w:val="center"/>
          </w:tcPr>
          <w:p>
            <w:pPr>
              <w:jc w:val="center"/>
            </w:pPr>
            <w:r>
              <w:rPr>
                <w:b w:val="false"/>
                <w:bCs w:val="false"/>
                <w:sz w:val="19"/>
                <w:szCs w:val="19"/>
              </w:rPr>
              <w:t xml:space="preserve">simple_weighted</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0.967</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0.795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12.72</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0.351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57</w:t>
            </w:r>
          </w:p>
        </w:tc>
        <w:tc>
          <w:tcPr>
            <w:tcW w:type="dxa" w:w="2400"/>
            <w:tcMar>
              <w:top w:type="dxa" w:w="60"/>
              <w:left w:type="dxa" w:w="100"/>
              <w:bottom w:type="dxa" w:w="60"/>
              <w:right w:type="dxa" w:w="100"/>
            </w:tcMar>
            <w:vAlign w:val="center"/>
          </w:tcPr>
          <w:p>
            <w:pPr>
              <w:jc w:val="center"/>
            </w:pPr>
            <w:r>
              <w:rPr>
                <w:b w:val="false"/>
                <w:bCs w:val="false"/>
                <w:sz w:val="19"/>
                <w:szCs w:val="19"/>
              </w:rPr>
              <w:t xml:space="preserve">traditional</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0.775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11.59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86.4</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0.386</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57</w:t>
            </w:r>
          </w:p>
        </w:tc>
        <w:tc>
          <w:tcPr>
            <w:tcW w:type="dxa" w:w="2400"/>
            <w:tcMar>
              <w:top w:type="dxa" w:w="60"/>
              <w:left w:type="dxa" w:w="100"/>
              <w:bottom w:type="dxa" w:w="60"/>
              <w:right w:type="dxa" w:w="100"/>
            </w:tcMar>
            <w:vAlign w:val="center"/>
          </w:tcPr>
          <w:p>
            <w:pPr>
              <w:jc w:val="center"/>
            </w:pPr>
            <w:r>
              <w:rPr>
                <w:b w:val="false"/>
                <w:bCs w:val="false"/>
                <w:sz w:val="19"/>
                <w:szCs w:val="19"/>
              </w:rPr>
              <w:t xml:space="preserve">intelligent</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0.819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16.23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16.4</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0.368</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155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random</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0.735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19.03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4.9</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0.877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155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nearest_worker</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0.815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7.16</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4.9</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0.697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155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rating_only</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0.819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13.77</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5.5</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0.316</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155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simple_weighted</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0.835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9.27</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4.9</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0.484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155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traditional</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0.809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7.17</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374.9</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0.755</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155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intelligent</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0.856</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11.61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64.8</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0.426</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305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random</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0.734</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19.22</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17.9</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0.921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305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nearest_worker</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0.828</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5.14</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18.3</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0.754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305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rating_only</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0.847</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10.30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19.3</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0.266</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305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simple_weighted</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0.855</w:t>
            </w:r>
          </w:p>
        </w:tc>
        <w:tc>
          <w:tcPr>
            <w:tcW w:type="dxa" w:w="1300"/>
            <w:tcMar>
              <w:top w:type="dxa" w:w="60"/>
              <w:left w:type="dxa" w:w="100"/>
              <w:bottom w:type="dxa" w:w="60"/>
              <w:right w:type="dxa" w:w="100"/>
            </w:tcMar>
            <w:vAlign w:val="center"/>
          </w:tcPr>
          <w:p>
            <w:pPr>
              <w:jc w:val="center"/>
            </w:pPr>
            <w:r>
              <w:rPr>
                <w:b w:val="false"/>
                <w:bCs w:val="false"/>
                <w:sz w:val="19"/>
                <w:szCs w:val="19"/>
              </w:rPr>
              <w:t xml:space="preserve">7.67</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18.4</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0.433</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305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traditional</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0.823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5.40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1453.8</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0.705</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305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intelligent</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0.881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10.44</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223.1</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0.305</w:t>
            </w:r>
          </w:p>
        </w:tc>
      </w:tr>
    </w:tbl>
    <w:p>
      <w:pPr>
        <w:spacing w:after="200"/>
      </w:pPr>
    </w:p>
    <w:p>
      <w:pPr>
        <w:pStyle w:val="Heading3"/>
        <w:spacing w:after="100" w:before="200"/>
      </w:pPr>
      <w:r>
        <w:t xml:space="preserve">Match quality (H1)</w:t>
      </w:r>
    </w:p>
    <w:p>
      <w:pPr>
        <w:spacing w:after="160" w:line="276"/>
        <w:jc w:val="both"/>
      </w:pPr>
      <w:r>
        <w:rPr>
          <w:b w:val="false"/>
          <w:bCs w:val="false"/>
          <w:i w:val="false"/>
          <w:iCs w:val="false"/>
        </w:rPr>
        <w:t xml:space="preserve">The proposed allocator achieves the highest Average Matching Score at every scale (0.819, 0.856, and 0.881 at pool sizes 57, 155, and 305 respectively), confirming H1. The margin over the strongest simple heuristic — the two-factor weighted rule — is real and consistent but modest, around 0.02 to 0.03 at every scale, indicating that a simple two-factor heuristic captures a substantial share of the available match-quality improvement; the remaining four scoring factors (skill depth, workload, price, and experience) contribute the rest.</w:t>
      </w:r>
    </w:p>
    <w:p>
      <w:pPr>
        <w:pStyle w:val="Heading3"/>
        <w:spacing w:after="100" w:before="200"/>
      </w:pPr>
      <w:r>
        <w:t xml:space="preserve">Response time and Open Decision on where allocation logic should live</w:t>
      </w:r>
    </w:p>
    <w:p>
      <w:pPr>
        <w:spacing w:after="160" w:line="276"/>
        <w:jc w:val="both"/>
      </w:pPr>
      <w:r>
        <w:rPr>
          <w:b w:val="false"/>
          <w:bCs w:val="false"/>
          <w:i w:val="false"/>
          <w:iCs w:val="false"/>
        </w:rPr>
        <w:t xml:space="preserve">The four simple heuristics remain fast at every scale tested (under twenty milliseconds throughout) because each performs at most one database lookup per candidate with no further round trip. The proposed allocator and the traditional baseline are both markedly slower, and for a shared underlying reason — each issues one additional database call per candidate — but at very different costs: the proposed allocator calls the scoring function once per candidate, while the traditional baseline issues a separate conflict-check query per candidate, an avoidable per-candidate query pattern. This difference compounds sharply with scale: at the largest pool tested, the traditional baseline takes 1.45 seconds per booking, roughly sixty-five times slower than any of the other five strategies, and the ratio between the traditional baseline’s response time and the proposed allocator’s widens from 5.3x to 5.8x to 6.5x as the pool grows from 57 to 305 workers. This is the strongest evidence in this study for keeping allocation-critical logic inside the database rather than the application layer. Regarding H5, the finding is only partially supportive: the proposed allocator’s own response-time curve is still super-linear in pool size, just far flatter than the traditional baseline’s — the relative gap improves with scale, but the proposed allocator’s absolute cost is not flat.</w:t>
      </w:r>
    </w:p>
    <w:p>
      <w:pPr>
        <w:pStyle w:val="Heading3"/>
        <w:spacing w:after="100" w:before="200"/>
      </w:pPr>
      <w:r>
        <w:t xml:space="preserve">The distance/quality tradeoff (H4)</w:t>
      </w:r>
    </w:p>
    <w:p>
      <w:pPr>
        <w:spacing w:after="160" w:line="276"/>
        <w:jc w:val="both"/>
      </w:pPr>
      <w:r>
        <w:rPr>
          <w:b w:val="false"/>
          <w:bCs w:val="false"/>
          <w:i w:val="false"/>
          <w:iCs w:val="false"/>
        </w:rPr>
        <w:t xml:space="preserve">Hypothesis H4 predicted that intelligent ranking would reduce average travel distance without hurting match quality. The data does not support this as stated: the proposed allocator has a higher average travel distance than the traditional baseline at every scale (16.23 versus 11.59 kilometres at the smallest scale; 10.44 versus 5.40 kilometres at the largest), and even loses on this metric to three of the four simpler heuristics at the largest scale. This is not a defect — the scoring function deliberately weighs distance as only one of six factors, so a farther candidate who scores better overall on skill, rating, workload, price, and experience combined can legitimately win. The honest revision to H4 is that the proposed allocator trades travel distance for composite match quality, rather than improving both simultaneously.</w:t>
      </w:r>
    </w:p>
    <w:p>
      <w:pPr>
        <w:pStyle w:val="Heading3"/>
        <w:spacing w:after="100" w:before="200"/>
      </w:pPr>
      <w:r>
        <w:t xml:space="preserve">Fairness: worker utilization</w:t>
      </w:r>
    </w:p>
    <w:p>
      <w:pPr>
        <w:spacing w:after="160" w:line="276"/>
        <w:jc w:val="both"/>
      </w:pPr>
      <w:r>
        <w:rPr>
          <w:b w:val="false"/>
          <w:bCs w:val="false"/>
          <w:i w:val="false"/>
          <w:iCs w:val="false"/>
        </w:rPr>
        <w:t xml:space="preserve">Worker Utilization — the fraction of the eligible pool actually assigned any work — reveals a fairness dimension not captured by the original hypothesis set. Random selection spreads work most evenly, as expected of a null-quality baseline (0.807 to 0.921 as scale grows), at the cost of the lowest match quality of any strategy at every scale. More notably, the rating-only heuristic is the single most concentrated strategy at every scale (0.316, 0.316, and 0.266), more concentrated even than the proposed allocator (0.368, 0.426, and 0.305), despite the proposed allocator also weighing rating heavily. This indicates that load concentration in this domain is not primarily a consequence of using a sophisticated multi-factor model — it is a consequence of ranking on any single quality signal in isolation, and explicitly weighing current workload as one of several factors, as the proposed allocator does, measurably tempers this concentration relative to a naive single-factor rule, even though it does not eliminate it.</w:t>
      </w:r>
    </w:p>
    <w:p>
      <w:pPr>
        <w:pStyle w:val="Heading3"/>
        <w:spacing w:after="100" w:before="200"/>
      </w:pPr>
      <w:r>
        <w:t xml:space="preserve">A methodology observation</w:t>
      </w:r>
    </w:p>
    <w:p>
      <w:pPr>
        <w:spacing w:after="160" w:line="276"/>
        <w:jc w:val="both"/>
      </w:pPr>
      <w:r>
        <w:rPr>
          <w:b w:val="false"/>
          <w:bCs w:val="false"/>
          <w:i w:val="false"/>
          <w:iCs w:val="false"/>
        </w:rPr>
        <w:t xml:space="preserve">The four simple heuristics were run together in one evaluation call per scale, and the traditional baseline and proposed allocator were run together in a separate call per scale, with a fresh synthetic dataset generated independently for each call. The Assignment Success Rate gap observed at the smallest scale (0.967 for the four simple heuristics against 1.000 for the traditional baseline and proposed allocator) is most plausibly attributable to this — one random batch of synthetic bookings happening to include a small number that no strategy could have filled, rather than a structural difference in the strategies themselves, since all four simple heuristics and the proposed allocator draw candidates from the identical underlying query. This is recorded here as a transparent limitation of the experimental design rather than smoothed into the headline result.</w:t>
      </w:r>
    </w:p>
    <w:p>
      <w:pPr>
        <w:pStyle w:val="Heading2"/>
        <w:spacing w:after="120" w:before="240"/>
      </w:pPr>
      <w:r>
        <w:t xml:space="preserve">Summary of Hypotheses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200"/>
      </w:tblGrid>
      <w:tr>
        <w:trPr>
          <w:tblHeader/>
        </w:trPr>
        <w:tc>
          <w:tcPr>
            <w:tcW w:type="dxa" w:w="500"/>
            <w:shd w:fill="D9E2F3" w:val="clear"/>
            <w:tcMar>
              <w:top w:type="dxa" w:w="60"/>
              <w:left w:type="dxa" w:w="100"/>
              <w:bottom w:type="dxa" w:w="60"/>
              <w:right w:type="dxa" w:w="100"/>
            </w:tcMar>
            <w:vAlign w:val="center"/>
          </w:tcPr>
          <w:p>
            <w:pPr>
              <w:jc w:val="center"/>
            </w:pPr>
            <w:r>
              <w:rPr>
                <w:b/>
                <w:bCs/>
                <w:sz w:val="19"/>
                <w:szCs w:val="19"/>
              </w:rPr>
              <w:t xml:space="preserve">#</w:t>
            </w:r>
          </w:p>
        </w:tc>
        <w:tc>
          <w:tcPr>
            <w:tcW w:type="dxa" w:w="4800"/>
            <w:shd w:fill="D9E2F3" w:val="clear"/>
            <w:tcMar>
              <w:top w:type="dxa" w:w="60"/>
              <w:left w:type="dxa" w:w="100"/>
              <w:bottom w:type="dxa" w:w="60"/>
              <w:right w:type="dxa" w:w="100"/>
            </w:tcMar>
            <w:vAlign w:val="center"/>
          </w:tcPr>
          <w:p>
            <w:pPr>
              <w:jc w:val="center"/>
            </w:pPr>
            <w:r>
              <w:rPr>
                <w:b/>
                <w:bCs/>
                <w:sz w:val="19"/>
                <w:szCs w:val="19"/>
              </w:rPr>
              <w:t xml:space="preserve">Hypothesis</w:t>
            </w:r>
          </w:p>
        </w:tc>
        <w:tc>
          <w:tcPr>
            <w:tcW w:type="dxa" w:w="4200"/>
            <w:shd w:fill="D9E2F3" w:val="clear"/>
            <w:tcMar>
              <w:top w:type="dxa" w:w="60"/>
              <w:left w:type="dxa" w:w="100"/>
              <w:bottom w:type="dxa" w:w="60"/>
              <w:right w:type="dxa" w:w="100"/>
            </w:tcMar>
            <w:vAlign w:val="center"/>
          </w:tcPr>
          <w:p>
            <w:pPr>
              <w:jc w:val="center"/>
            </w:pPr>
            <w:r>
              <w:rPr>
                <w:b/>
                <w:bCs/>
                <w:sz w:val="19"/>
                <w:szCs w:val="19"/>
              </w:rPr>
              <w:t xml:space="preserve">Outcome</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H1</w:t>
            </w:r>
          </w:p>
        </w:tc>
        <w:tc>
          <w:tcPr>
            <w:tcW w:type="dxa" w:w="4800"/>
            <w:tcMar>
              <w:top w:type="dxa" w:w="60"/>
              <w:left w:type="dxa" w:w="100"/>
              <w:bottom w:type="dxa" w:w="60"/>
              <w:right w:type="dxa" w:w="100"/>
            </w:tcMar>
            <w:vAlign w:val="center"/>
          </w:tcPr>
          <w:p>
            <w:pPr>
              <w:jc w:val="center"/>
            </w:pPr>
            <w:r>
              <w:rPr>
                <w:b w:val="false"/>
                <w:bCs w:val="false"/>
                <w:sz w:val="19"/>
                <w:szCs w:val="19"/>
              </w:rPr>
              <w:t xml:space="preserve">Multi-attribute allocation beats distance-only / rating-only baselines on assignment success rate and average matching score.</w:t>
            </w:r>
          </w:p>
        </w:tc>
        <w:tc>
          <w:tcPr>
            <w:tcW w:type="dxa" w:w="4200"/>
            <w:tcMar>
              <w:top w:type="dxa" w:w="60"/>
              <w:left w:type="dxa" w:w="100"/>
              <w:bottom w:type="dxa" w:w="60"/>
              <w:right w:type="dxa" w:w="100"/>
            </w:tcMar>
            <w:vAlign w:val="center"/>
          </w:tcPr>
          <w:p>
            <w:pPr>
              <w:jc w:val="center"/>
            </w:pPr>
            <w:r>
              <w:rPr>
                <w:b w:val="false"/>
                <w:bCs w:val="false"/>
                <w:sz w:val="19"/>
                <w:szCs w:val="19"/>
              </w:rPr>
              <w:t xml:space="preserve">Confirmed — the proposed allocator has the highest average matching score of all six strategies at every scale tested.</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H2</w:t>
            </w:r>
          </w:p>
        </w:tc>
        <w:tc>
          <w:tcPr>
            <w:tcW w:type="dxa" w:w="4800"/>
            <w:tcMar>
              <w:top w:type="dxa" w:w="60"/>
              <w:left w:type="dxa" w:w="100"/>
              <w:bottom w:type="dxa" w:w="60"/>
              <w:right w:type="dxa" w:w="100"/>
            </w:tcMar>
            <w:vAlign w:val="center"/>
          </w:tcPr>
          <w:p>
            <w:pPr>
              <w:jc w:val="center"/>
            </w:pPr>
            <w:r>
              <w:rPr>
                <w:b w:val="false"/>
                <w:bCs w:val="false"/>
                <w:sz w:val="19"/>
                <w:szCs w:val="19"/>
              </w:rPr>
              <w:t xml:space="preserve">Skill-aware filtering improves completion quality versus generic matching.</w:t>
            </w:r>
          </w:p>
        </w:tc>
        <w:tc>
          <w:tcPr>
            <w:tcW w:type="dxa" w:w="4200"/>
            <w:tcMar>
              <w:top w:type="dxa" w:w="60"/>
              <w:left w:type="dxa" w:w="100"/>
              <w:bottom w:type="dxa" w:w="60"/>
              <w:right w:type="dxa" w:w="100"/>
            </w:tcMar>
            <w:vAlign w:val="center"/>
          </w:tcPr>
          <w:p>
            <w:pPr>
              <w:jc w:val="center"/>
            </w:pPr>
            <w:r>
              <w:rPr>
                <w:b w:val="false"/>
                <w:bCs w:val="false"/>
                <w:sz w:val="19"/>
                <w:szCs w:val="19"/>
              </w:rPr>
              <w:t xml:space="preserve">Not separately tested — every strategy compared draws from the same skill-filtered candidate pool, so this variable was not isolated in this study.</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H3</w:t>
            </w:r>
          </w:p>
        </w:tc>
        <w:tc>
          <w:tcPr>
            <w:tcW w:type="dxa" w:w="4800"/>
            <w:tcMar>
              <w:top w:type="dxa" w:w="60"/>
              <w:left w:type="dxa" w:w="100"/>
              <w:bottom w:type="dxa" w:w="60"/>
              <w:right w:type="dxa" w:w="100"/>
            </w:tcMar>
            <w:vAlign w:val="center"/>
          </w:tcPr>
          <w:p>
            <w:pPr>
              <w:jc w:val="center"/>
            </w:pPr>
            <w:r>
              <w:rPr>
                <w:b w:val="false"/>
                <w:bCs w:val="false"/>
                <w:sz w:val="19"/>
                <w:szCs w:val="19"/>
              </w:rPr>
              <w:t xml:space="preserve">Spatial and partial indexing reduces candidate-search time versus a full scan.</w:t>
            </w:r>
          </w:p>
        </w:tc>
        <w:tc>
          <w:tcPr>
            <w:tcW w:type="dxa" w:w="4200"/>
            <w:tcMar>
              <w:top w:type="dxa" w:w="60"/>
              <w:left w:type="dxa" w:w="100"/>
              <w:bottom w:type="dxa" w:w="60"/>
              <w:right w:type="dxa" w:w="100"/>
            </w:tcMar>
            <w:vAlign w:val="center"/>
          </w:tcPr>
          <w:p>
            <w:pPr>
              <w:jc w:val="center"/>
            </w:pPr>
            <w:r>
              <w:rPr>
                <w:b w:val="false"/>
                <w:bCs w:val="false"/>
                <w:sz w:val="19"/>
                <w:szCs w:val="19"/>
              </w:rPr>
              <w:t xml:space="preserve">Partially supported — confirmed for a genuine point-outward radius search (up to 2.70x speedup at 100,000 workers), but not supported for a differently-ordered query whose plan reaches location only after other filters already narrow the candidate set.</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H4</w:t>
            </w:r>
          </w:p>
        </w:tc>
        <w:tc>
          <w:tcPr>
            <w:tcW w:type="dxa" w:w="4800"/>
            <w:tcMar>
              <w:top w:type="dxa" w:w="60"/>
              <w:left w:type="dxa" w:w="100"/>
              <w:bottom w:type="dxa" w:w="60"/>
              <w:right w:type="dxa" w:w="100"/>
            </w:tcMar>
            <w:vAlign w:val="center"/>
          </w:tcPr>
          <w:p>
            <w:pPr>
              <w:jc w:val="center"/>
            </w:pPr>
            <w:r>
              <w:rPr>
                <w:b w:val="false"/>
                <w:bCs w:val="false"/>
                <w:sz w:val="19"/>
                <w:szCs w:val="19"/>
              </w:rPr>
              <w:t xml:space="preserve">Intelligent ranking reduces average travel distance without hurting average matching score.</w:t>
            </w:r>
          </w:p>
        </w:tc>
        <w:tc>
          <w:tcPr>
            <w:tcW w:type="dxa" w:w="4200"/>
            <w:tcMar>
              <w:top w:type="dxa" w:w="60"/>
              <w:left w:type="dxa" w:w="100"/>
              <w:bottom w:type="dxa" w:w="60"/>
              <w:right w:type="dxa" w:w="100"/>
            </w:tcMar>
            <w:vAlign w:val="center"/>
          </w:tcPr>
          <w:p>
            <w:pPr>
              <w:jc w:val="center"/>
            </w:pPr>
            <w:r>
              <w:rPr>
                <w:b w:val="false"/>
                <w:bCs w:val="false"/>
                <w:sz w:val="19"/>
                <w:szCs w:val="19"/>
              </w:rPr>
              <w:t xml:space="preserve">Refuted as originally stated — the proposed allocator has higher average travel distance than the traditional baseline at every scale; it trades distance for composite match quality rather than winning on both.</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H5</w:t>
            </w:r>
          </w:p>
        </w:tc>
        <w:tc>
          <w:tcPr>
            <w:tcW w:type="dxa" w:w="4800"/>
            <w:tcMar>
              <w:top w:type="dxa" w:w="60"/>
              <w:left w:type="dxa" w:w="100"/>
              <w:bottom w:type="dxa" w:w="60"/>
              <w:right w:type="dxa" w:w="100"/>
            </w:tcMar>
            <w:vAlign w:val="center"/>
          </w:tcPr>
          <w:p>
            <w:pPr>
              <w:jc w:val="center"/>
            </w:pPr>
            <w:r>
              <w:rPr>
                <w:b w:val="false"/>
                <w:bCs w:val="false"/>
                <w:sz w:val="19"/>
                <w:szCs w:val="19"/>
              </w:rPr>
              <w:t xml:space="preserve">Indexing / candidate-query optimization keeps execution time sub-linear as worker count scales.</w:t>
            </w:r>
          </w:p>
        </w:tc>
        <w:tc>
          <w:tcPr>
            <w:tcW w:type="dxa" w:w="4200"/>
            <w:tcMar>
              <w:top w:type="dxa" w:w="60"/>
              <w:left w:type="dxa" w:w="100"/>
              <w:bottom w:type="dxa" w:w="60"/>
              <w:right w:type="dxa" w:w="100"/>
            </w:tcMar>
            <w:vAlign w:val="center"/>
          </w:tcPr>
          <w:p>
            <w:pPr>
              <w:jc w:val="center"/>
            </w:pPr>
            <w:r>
              <w:rPr>
                <w:b w:val="false"/>
                <w:bCs w:val="false"/>
                <w:sz w:val="19"/>
                <w:szCs w:val="19"/>
              </w:rPr>
              <w:t xml:space="preserve">Partially supported — the proposed allocator scales far more gently than the traditional baseline, but its own response-time curve is still super-linear, not flat.</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H6</w:t>
            </w:r>
          </w:p>
        </w:tc>
        <w:tc>
          <w:tcPr>
            <w:tcW w:type="dxa" w:w="4800"/>
            <w:tcMar>
              <w:top w:type="dxa" w:w="60"/>
              <w:left w:type="dxa" w:w="100"/>
              <w:bottom w:type="dxa" w:w="60"/>
              <w:right w:type="dxa" w:w="100"/>
            </w:tcMar>
            <w:vAlign w:val="center"/>
          </w:tcPr>
          <w:p>
            <w:pPr>
              <w:jc w:val="center"/>
            </w:pPr>
            <w:r>
              <w:rPr>
                <w:b w:val="false"/>
                <w:bCs w:val="false"/>
                <w:sz w:val="19"/>
                <w:szCs w:val="19"/>
              </w:rPr>
              <w:t xml:space="preserve">Historical feedback (an acceptance-rate factor) measurably shifts future rankings versus a static-weight baseline.</w:t>
            </w:r>
          </w:p>
        </w:tc>
        <w:tc>
          <w:tcPr>
            <w:tcW w:type="dxa" w:w="4200"/>
            <w:tcMar>
              <w:top w:type="dxa" w:w="60"/>
              <w:left w:type="dxa" w:w="100"/>
              <w:bottom w:type="dxa" w:w="60"/>
              <w:right w:type="dxa" w:w="100"/>
            </w:tcMar>
            <w:vAlign w:val="center"/>
          </w:tcPr>
          <w:p>
            <w:pPr>
              <w:jc w:val="center"/>
            </w:pPr>
            <w:r>
              <w:rPr>
                <w:b w:val="false"/>
                <w:bCs w:val="false"/>
                <w:sz w:val="19"/>
                <w:szCs w:val="19"/>
              </w:rPr>
              <w:t xml:space="preserve">Not implemented or tested in this phase — recorded as future work.</w:t>
            </w:r>
          </w:p>
        </w:tc>
      </w:tr>
    </w:tbl>
    <w:p>
      <w:pPr>
        <w:pStyle w:val="Heading1"/>
        <w:spacing w:after="160" w:before="320"/>
      </w:pPr>
      <w:r>
        <w:t xml:space="preserve">Conclusion and Future Work</w:t>
      </w:r>
    </w:p>
    <w:p>
      <w:pPr>
        <w:spacing w:after="160" w:line="276"/>
        <w:jc w:val="both"/>
      </w:pPr>
      <w:r>
        <w:rPr>
          <w:b w:val="false"/>
          <w:bCs w:val="false"/>
          <w:i w:val="false"/>
          <w:iCs w:val="false"/>
        </w:rPr>
        <w:t xml:space="preserve">This project set out to test, rather than merely assert, whether treating the relational database as an active participant in the allocation pipeline of an on-demand worker marketplace is a sound architectural choice. A complete system was implemented and verified end-to-end — a PostgreSQL/PostGIS database layer holding the schema, an exclusion constraint preventing double-booking, triggers, a materialized view, and the multi-attribute scoring and allocation logic, orchestrated by a Spring Boot REST API and a role-based React frontend with real JWT authentication and a real payment-gateway integration — and two experimental studies were run against that completed, live system rather than a simulation of it.</w:t>
      </w:r>
    </w:p>
    <w:p>
      <w:pPr>
        <w:spacing w:after="160" w:line="276"/>
        <w:jc w:val="both"/>
      </w:pPr>
      <w:r>
        <w:rPr>
          <w:b w:val="false"/>
          <w:bCs w:val="false"/>
          <w:i w:val="false"/>
          <w:iCs w:val="false"/>
        </w:rPr>
        <w:t xml:space="preserve">The results support the central architectural position with concrete, measured evidence rather than intuition: at the largest scale tested, a traditional Java-side allocator issuing one conflict-check query per candidate was roughly sixty-five times slower per booking than every other strategy compared, including the proposed database-resident allocator, which itself achieved the highest match quality of all six strategies at every scale. At the same time, the study reports two findings honestly rather than adjusting the narrative to fit the original hypotheses: the proposed allocator trades average travel distance for composite match quality rather than winning on both axes, and its quality advantage carries a measurable worker-utilization fairness cost — though that cost is less severe than a naive single-factor “always pick the highest-rated worker” rule’s, which was found to concentrate load on an even narrower slice of the eligible worker pool. The query-optimization study similarly reports a nuanced rather than blanket result: spatial indexing delivers a substantial, scale-growing benefit for a genuine point-outward search, but provides no benefit — confirmed by query-plan inspection, not assumption — for a differently-ordered query that reaches location only after other filters have already narrowed the candidate set.</w:t>
      </w:r>
    </w:p>
    <w:p>
      <w:pPr>
        <w:spacing w:after="160" w:line="276"/>
        <w:jc w:val="both"/>
      </w:pPr>
      <w:r>
        <w:rPr>
          <w:b w:val="false"/>
          <w:bCs w:val="false"/>
          <w:i w:val="false"/>
          <w:iCs w:val="false"/>
        </w:rPr>
        <w:t xml:space="preserve">Several limitations of the present study are worth stating plainly. Assignment Success Rate was at or near its maximum for every strategy at every scale tested, meaning the experiment did not meaningfully stress the “no eligible worker available” path; a smaller worker pool relative to booking volume, or a tighter geographic search radius, would be needed to differentiate strategies on that metric. The four simple heuristics and the traditional/proposed-allocator pair were evaluated using two separate synthetic datasets per scale rather than one shared dataset, which most plausibly explains a small Assignment Success Rate discrepancy at the smallest scale and is recorded as a transparent caveat rather than a confirmed algorithmic difference. All synthetic bookings were generated within a fixed geographic area, so absolute travel-distance figures reflect that area’s geometry rather than a real deployment’s service footprint.</w:t>
      </w:r>
    </w:p>
    <w:p>
      <w:pPr>
        <w:pStyle w:val="Heading2"/>
        <w:spacing w:after="120" w:before="240"/>
      </w:pPr>
      <w:r>
        <w:t xml:space="preserve">Future Work</w:t>
      </w:r>
    </w:p>
    <w:p>
      <w:pPr>
        <w:spacing w:after="160" w:line="276"/>
        <w:jc w:val="both"/>
      </w:pPr>
      <w:r>
        <w:rPr>
          <w:b w:val="false"/>
          <w:bCs w:val="false"/>
          <w:i w:val="false"/>
          <w:iCs w:val="false"/>
        </w:rPr>
        <w:t xml:space="preserve">The literature review identified twelve extensions beyond the current scope, several of which remain attractive low-effort next steps building directly on the existing schema and functions:</w:t>
      </w:r>
    </w:p>
    <w:p>
      <w:pPr>
        <w:pStyle w:val="ListParagraph"/>
        <w:numPr>
          <w:ilvl w:val="0"/>
          <w:numId w:val="1"/>
        </w:numPr>
        <w:spacing w:after="90" w:line="264"/>
      </w:pPr>
      <w:r>
        <w:t xml:space="preserve">Bayesian or Beta-Binomial smoothing of the worker rating used in scoring, in place of a plain average, so that a worker with very few reviews is not unfairly penalized or, conversely, does not unfairly benefit from a single extreme rating.</w:t>
      </w:r>
    </w:p>
    <w:p>
      <w:pPr>
        <w:pStyle w:val="ListParagraph"/>
        <w:numPr>
          <w:ilvl w:val="0"/>
          <w:numId w:val="1"/>
        </w:numPr>
        <w:spacing w:after="90" w:line="264"/>
      </w:pPr>
      <w:r>
        <w:t xml:space="preserve">Per-task-type weight profiles feeding the scoring function, so that, for example, an urgent repair and a routine tutoring session can weigh distance and skill differently rather than sharing one fixed weight vector.</w:t>
      </w:r>
    </w:p>
    <w:p>
      <w:pPr>
        <w:pStyle w:val="ListParagraph"/>
        <w:numPr>
          <w:ilvl w:val="0"/>
          <w:numId w:val="1"/>
        </w:numPr>
        <w:spacing w:after="90" w:line="264"/>
      </w:pPr>
      <w:r>
        <w:t xml:space="preserve">PostGIS service-area polygons and containment queries in place of a flat distance-radius cutoff, together with reverse and group k-nearest-neighbour queries for worker-coverage analysis and multi-stop bookings.</w:t>
      </w:r>
    </w:p>
    <w:p>
      <w:pPr>
        <w:pStyle w:val="ListParagraph"/>
        <w:numPr>
          <w:ilvl w:val="0"/>
          <w:numId w:val="1"/>
        </w:numPr>
        <w:spacing w:after="90" w:line="264"/>
      </w:pPr>
      <w:r>
        <w:t xml:space="preserve">A worker-retention or “potential level” score that protects capable but low-review-count workers from being permanently out-competed by higher-rated peers.</w:t>
      </w:r>
    </w:p>
    <w:p>
      <w:pPr>
        <w:pStyle w:val="ListParagraph"/>
        <w:numPr>
          <w:ilvl w:val="0"/>
          <w:numId w:val="1"/>
        </w:numPr>
        <w:spacing w:after="90" w:line="264"/>
      </w:pPr>
      <w:r>
        <w:t xml:space="preserve">A lightweight acceptance-rate-by-service-type signal as a lower-cost proxy for worker preference, ahead of a full stable-matching (Gale–Shapley) allocator, which the literature identifies as a theoretically sounder but more data-hungry alternative to the current best-first model.</w:t>
      </w:r>
    </w:p>
    <w:p>
      <w:pPr>
        <w:pStyle w:val="ListParagraph"/>
        <w:numPr>
          <w:ilvl w:val="0"/>
          <w:numId w:val="1"/>
        </w:numPr>
        <w:spacing w:after="90" w:line="264"/>
      </w:pPr>
      <w:r>
        <w:t xml:space="preserve">A simple pairwise learning-to-rank refinement of the fixed scoring weights, trained on the allocation log and actual outcomes, as a lightweight analogue of the learned query-optimizer literature reviewed above.</w:t>
      </w:r>
    </w:p>
    <w:p>
      <w:pPr>
        <w:pStyle w:val="ListParagraph"/>
        <w:numPr>
          <w:ilvl w:val="0"/>
          <w:numId w:val="1"/>
        </w:numPr>
        <w:spacing w:after="90" w:line="264"/>
      </w:pPr>
      <w:r>
        <w:t xml:space="preserve">Re-running the reverse-join-order variant of the candidate-search query identified in the query-optimization study, to test directly whether reordering the query to filter by location first would allow the spatial index to be used, closing the loop on the H3 finding rather than leaving it as an observation.</w:t>
      </w:r>
    </w:p>
    <w:p>
      <w:pPr>
        <w:spacing w:after="160" w:line="276"/>
        <w:jc w:val="both"/>
      </w:pPr>
      <w:r>
        <w:rPr>
          <w:b w:val="false"/>
          <w:bCs w:val="false"/>
          <w:i w:val="false"/>
          <w:iCs w:val="false"/>
        </w:rPr>
        <w:t xml:space="preserve">Beyond the research extensions above, three pre-existing implementation items remain open and are recorded for completeness: a throwaway, unauthenticated payment test page should be removed before any final submission or demonstration; the payment-gateway webhook path is currently verified only by unit test and would need a public HTTPS endpoint to test end-to-end; and a browser-storage sharing quirk across multiple open tabs of the same account is documented but not fixed, since it does not affect normal single-tab use. None of these affect the results reported in this document.</w:t>
      </w:r>
    </w:p>
    <w:p>
      <w:pPr>
        <w:spacing w:after="160" w:line="276"/>
        <w:jc w:val="both"/>
      </w:pPr>
      <w:r>
        <w:rPr>
          <w:b w:val="false"/>
          <w:bCs w:val="false"/>
          <w:i w:val="false"/>
          <w:iCs w:val="false"/>
        </w:rPr>
        <w:t xml:space="preserve">In summary, this project delivers both a working system and rigorous, honestly reported evidence about the tradeoffs involved in database-resident intelligent allocation — evidence that a purely qualitative or unimplemented design proposal could not have produced, including two results that refine rather than simply confirm the hypotheses this project set out to test.</w:t>
      </w:r>
    </w:p>
    <w:p>
      <w:pPr>
        <w:pStyle w:val="Heading1"/>
        <w:spacing w:after="160" w:before="320"/>
      </w:pPr>
      <w:r>
        <w:t xml:space="preserve">References</w:t>
      </w:r>
    </w:p>
    <w:p>
      <w:pPr>
        <w:spacing w:after="160" w:line="276"/>
        <w:jc w:val="both"/>
      </w:pPr>
      <w:r>
        <w:rPr>
          <w:b w:val="false"/>
          <w:bCs w:val="false"/>
          <w:i w:val="false"/>
          <w:iCs w:val="false"/>
        </w:rPr>
        <w:t xml:space="preserve">Li, X., Zhang, Y., et al. (2021). “A Multi-Attribute Decision-Making Approach for Task Assignment in Spatial Crowdsourcing.” Security and Communication Networks.</w:t>
      </w:r>
    </w:p>
    <w:p>
      <w:pPr>
        <w:spacing w:after="160" w:line="276"/>
        <w:jc w:val="both"/>
      </w:pPr>
      <w:r>
        <w:rPr>
          <w:b w:val="false"/>
          <w:bCs w:val="false"/>
          <w:i w:val="false"/>
          <w:iCs w:val="false"/>
        </w:rPr>
        <w:t xml:space="preserve">Samanta, S., Ghosh, A., &amp; Das, D. (2024). “SATA-PAW: A Utility-Based Task Assignment Framework with Willingness and Reputation.” SSRN preprint.</w:t>
      </w:r>
    </w:p>
    <w:p>
      <w:pPr>
        <w:spacing w:after="160" w:line="276"/>
        <w:jc w:val="both"/>
      </w:pPr>
      <w:r>
        <w:rPr>
          <w:b w:val="false"/>
          <w:bCs w:val="false"/>
          <w:i w:val="false"/>
          <w:iCs w:val="false"/>
        </w:rPr>
        <w:t xml:space="preserve">Yao, B., Yang, Q., &amp; Xu, J. (2023). “Online Dependent Task Assignment in Spatial Crowdsourcing.” IEEE Transactions on Services Computing.</w:t>
      </w:r>
    </w:p>
    <w:p>
      <w:pPr>
        <w:spacing w:after="160" w:line="276"/>
        <w:jc w:val="both"/>
      </w:pPr>
      <w:r>
        <w:rPr>
          <w:b w:val="false"/>
          <w:bCs w:val="false"/>
          <w:i w:val="false"/>
          <w:iCs w:val="false"/>
        </w:rPr>
        <w:t xml:space="preserve">Ren, S., et al. (2026). “Cross-Platform Dynamic Task Assignment for Gig-Work Outsourcing.” IEEE Transactions on Knowledge and Data Engineering.</w:t>
      </w:r>
    </w:p>
    <w:p>
      <w:pPr>
        <w:spacing w:after="160" w:line="276"/>
        <w:jc w:val="both"/>
      </w:pPr>
      <w:r>
        <w:rPr>
          <w:b w:val="false"/>
          <w:bCs w:val="false"/>
          <w:i w:val="false"/>
          <w:iCs w:val="false"/>
        </w:rPr>
        <w:t xml:space="preserve">Zhao, Y., et al. (2024). “Coalition-Based Task Assignment in Spatial Crowdsourcing.” The VLDB Journal.</w:t>
      </w:r>
    </w:p>
    <w:p>
      <w:pPr>
        <w:spacing w:after="160" w:line="276"/>
        <w:jc w:val="both"/>
      </w:pPr>
      <w:r>
        <w:rPr>
          <w:b w:val="false"/>
          <w:bCs w:val="false"/>
          <w:i w:val="false"/>
          <w:iCs w:val="false"/>
        </w:rPr>
        <w:t xml:space="preserve">Li, Y., Zhao, W., Zhou, X., &amp; Zheng, K. (2020). “Group Task Assignment with Social Impact in Spatial Crowdsourcing.” Data Science and Engineering.</w:t>
      </w:r>
    </w:p>
    <w:p>
      <w:pPr>
        <w:spacing w:after="160" w:line="276"/>
        <w:jc w:val="both"/>
      </w:pPr>
      <w:r>
        <w:rPr>
          <w:b w:val="false"/>
          <w:bCs w:val="false"/>
          <w:i w:val="false"/>
          <w:iCs w:val="false"/>
        </w:rPr>
        <w:t xml:space="preserve">Pan, Y., et al. (2021). “GH-AT: Task–Worker–Workplace Assignment via Sparsified Hungarian Matching.” EURASIP Journal on Wireless Communications and Networking.</w:t>
      </w:r>
    </w:p>
    <w:p>
      <w:pPr>
        <w:spacing w:after="160" w:line="276"/>
        <w:jc w:val="both"/>
      </w:pPr>
      <w:r>
        <w:rPr>
          <w:b w:val="false"/>
          <w:bCs w:val="false"/>
          <w:i w:val="false"/>
          <w:iCs w:val="false"/>
        </w:rPr>
        <w:t xml:space="preserve">Yucel, F., Bulut, E., &amp; Yuksel, M. (2023). “Stable Worker–Task Assignment in Mobile Crowdsensing.” In Mobile Crowdsensing Systems (Springer book chapter).</w:t>
      </w:r>
    </w:p>
    <w:p>
      <w:pPr>
        <w:spacing w:after="160" w:line="276"/>
        <w:jc w:val="both"/>
      </w:pPr>
      <w:r>
        <w:rPr>
          <w:b w:val="false"/>
          <w:bCs w:val="false"/>
          <w:i w:val="false"/>
          <w:iCs w:val="false"/>
        </w:rPr>
        <w:t xml:space="preserve">He, K., Xin, Y., Hou, S., &amp; Yang, Y. (2023). “PKGS: Privacy-Preserving Hitchhiking Task Assignment via Homomorphic Encryption.” Electronics (MDPI).</w:t>
      </w:r>
    </w:p>
    <w:p>
      <w:pPr>
        <w:spacing w:after="160" w:line="276"/>
        <w:jc w:val="both"/>
      </w:pPr>
      <w:r>
        <w:rPr>
          <w:b w:val="false"/>
          <w:bCs w:val="false"/>
          <w:i w:val="false"/>
          <w:iCs w:val="false"/>
        </w:rPr>
        <w:t xml:space="preserve">Peng, H., Hu, C., Lin, D., Wang, Y., Liu, X., Dev, K., Khowaja, S. A., &amp; Qureshi, N. M. F. (2022). “Spatiotemporal Prediction for Task Allocation in Spatial Crowdsourcing with Privacy Preservation.” IEEE Transactions on Network Science and Engineering.</w:t>
      </w:r>
    </w:p>
    <w:p>
      <w:pPr>
        <w:spacing w:after="160" w:line="276"/>
        <w:jc w:val="both"/>
      </w:pPr>
      <w:r>
        <w:rPr>
          <w:b w:val="false"/>
          <w:bCs w:val="false"/>
          <w:i w:val="false"/>
          <w:iCs w:val="false"/>
        </w:rPr>
        <w:t xml:space="preserve">Carniel, A. C. (2024). “Defining and Designing Spatial Queries: A Taxonomy.” Geo-spatial Information Science.</w:t>
      </w:r>
    </w:p>
    <w:p>
      <w:pPr>
        <w:spacing w:after="160" w:line="276"/>
        <w:jc w:val="both"/>
      </w:pPr>
      <w:r>
        <w:rPr>
          <w:b w:val="false"/>
          <w:bCs w:val="false"/>
          <w:i w:val="false"/>
          <w:iCs w:val="false"/>
        </w:rPr>
        <w:t xml:space="preserve">Panwar, A. (2024). “AI-Driven Query Optimization in Relational Databases.” International Journal of Computer Trends and Technology.</w:t>
      </w:r>
    </w:p>
    <w:p>
      <w:pPr>
        <w:spacing w:after="160" w:line="276"/>
        <w:jc w:val="both"/>
      </w:pPr>
      <w:r>
        <w:rPr>
          <w:b w:val="false"/>
          <w:bCs w:val="false"/>
          <w:i w:val="false"/>
          <w:iCs w:val="false"/>
        </w:rPr>
        <w:t xml:space="preserve">Ding, B., Zhu, R., &amp; Zhou, X. (2023). “Learned Query Optimizers: A Survey.” Foundations and Trends in Databases.</w:t>
      </w:r>
    </w:p>
    <w:p>
      <w:pPr>
        <w:spacing w:after="160" w:line="276"/>
        <w:jc w:val="both"/>
      </w:pPr>
      <w:r>
        <w:rPr>
          <w:b w:val="false"/>
          <w:bCs w:val="false"/>
          <w:i w:val="false"/>
          <w:iCs w:val="false"/>
        </w:rPr>
        <w:t xml:space="preserve">Zinchenko, V., &amp; Ponomaryov, D. (2025). “The Candidate Selection Problem in Multi-Query Optimization.” arXiv:2412.11828v2.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30"/>
      <w:szCs w:val="30"/>
    </w:rPr>
  </w:style>
  <w:style w:type="paragraph" w:styleId="Heading2">
    <w:name w:val="Heading 2"/>
    <w:basedOn w:val="Normal"/>
    <w:next w:val="Normal"/>
    <w:qFormat/>
    <w:pPr>
      <w:spacing w:after="120" w:before="240"/>
    </w:pPr>
    <w:rPr>
      <w:b/>
      <w:bCs/>
      <w:color w:val="2E5395"/>
      <w:sz w:val="25"/>
      <w:szCs w:val="25"/>
    </w:rPr>
  </w:style>
  <w:style w:type="paragraph" w:styleId="Heading3">
    <w:name w:val="Heading 3"/>
    <w:basedOn w:val="Normal"/>
    <w:next w:val="Normal"/>
    <w:qFormat/>
    <w:pPr>
      <w:spacing w:after="100" w:before="200"/>
    </w:pPr>
    <w:rPr>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2026-09-06T04:29:05.685Z</dcterms:created>
  <dcterms:modified xsi:type="dcterms:W3CDTF">2026-09-06T04:29:05.685Z</dcterms:modified>
</cp:coreProperties>
</file>

<file path=docProps/custom.xml><?xml version="1.0" encoding="utf-8"?>
<Properties xmlns="http://schemas.openxmlformats.org/officeDocument/2006/custom-properties" xmlns:vt="http://schemas.openxmlformats.org/officeDocument/2006/docPropsVTypes"/>
</file>